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1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2CB5EE">
      <w:pPr>
        <w:pStyle w:val="2"/>
        <w:spacing w:line="360" w:lineRule="auto"/>
        <w:jc w:val="center"/>
        <w:rPr>
          <w:rFonts w:asciiTheme="minorEastAsia" w:hAnsiTheme="minorEastAsia" w:eastAsiaTheme="minorEastAsia" w:cstheme="minorEastAsia"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</w:rPr>
        <w:t xml:space="preserve">                                  </w:t>
      </w:r>
    </w:p>
    <w:p w14:paraId="58881C8B">
      <w:pPr>
        <w:pStyle w:val="2"/>
        <w:jc w:val="center"/>
        <w:rPr>
          <w:sz w:val="56"/>
          <w:szCs w:val="36"/>
        </w:rPr>
      </w:pPr>
    </w:p>
    <w:p w14:paraId="567E2104">
      <w:pPr>
        <w:pStyle w:val="2"/>
        <w:jc w:val="center"/>
        <w:rPr>
          <w:rFonts w:ascii="微软雅黑" w:hAnsi="微软雅黑" w:eastAsia="微软雅黑" w:cs="微软雅黑"/>
          <w:sz w:val="56"/>
          <w:szCs w:val="36"/>
        </w:rPr>
      </w:pPr>
      <w:bookmarkStart w:id="0" w:name="_Toc28545"/>
      <w:bookmarkStart w:id="1" w:name="_Toc21192"/>
      <w:r>
        <w:rPr>
          <w:rFonts w:hint="eastAsia" w:ascii="微软雅黑" w:hAnsi="微软雅黑" w:eastAsia="微软雅黑" w:cs="微软雅黑"/>
          <w:sz w:val="56"/>
          <w:szCs w:val="36"/>
        </w:rPr>
        <w:t>杰程·公考云课堂</w:t>
      </w:r>
      <w:bookmarkEnd w:id="0"/>
      <w:bookmarkEnd w:id="1"/>
    </w:p>
    <w:p w14:paraId="5B77DC14">
      <w:pPr>
        <w:jc w:val="center"/>
        <w:rPr>
          <w:sz w:val="48"/>
          <w:szCs w:val="28"/>
        </w:rPr>
      </w:pPr>
    </w:p>
    <w:p w14:paraId="52CC7D8F">
      <w:pPr>
        <w:jc w:val="center"/>
        <w:rPr>
          <w:rFonts w:ascii="微软雅黑" w:hAnsi="微软雅黑" w:eastAsia="微软雅黑" w:cs="微软雅黑"/>
          <w:sz w:val="48"/>
          <w:szCs w:val="28"/>
        </w:rPr>
      </w:pPr>
      <w:r>
        <w:rPr>
          <w:rFonts w:hint="eastAsia" w:ascii="微软雅黑" w:hAnsi="微软雅黑" w:eastAsia="微软雅黑" w:cs="微软雅黑"/>
          <w:sz w:val="48"/>
          <w:szCs w:val="28"/>
        </w:rPr>
        <w:t>数据库简介</w:t>
      </w:r>
    </w:p>
    <w:p w14:paraId="2351F135">
      <w:pPr>
        <w:rPr>
          <w:rFonts w:ascii="微软雅黑" w:hAnsi="微软雅黑" w:eastAsia="微软雅黑" w:cs="微软雅黑"/>
          <w:sz w:val="56"/>
          <w:szCs w:val="36"/>
        </w:rPr>
      </w:pPr>
      <w:r>
        <w:rPr>
          <w:rFonts w:hint="eastAsia" w:ascii="微软雅黑" w:hAnsi="微软雅黑" w:eastAsia="微软雅黑" w:cs="微软雅黑"/>
          <w:sz w:val="56"/>
          <w:szCs w:val="36"/>
        </w:rPr>
        <w:t xml:space="preserve"> </w:t>
      </w:r>
    </w:p>
    <w:p w14:paraId="0382A508">
      <w:pPr>
        <w:rPr>
          <w:rFonts w:ascii="微软雅黑" w:hAnsi="微软雅黑" w:eastAsia="微软雅黑" w:cs="微软雅黑"/>
          <w:sz w:val="56"/>
          <w:szCs w:val="36"/>
        </w:rPr>
      </w:pPr>
    </w:p>
    <w:p w14:paraId="22E0226F">
      <w:pPr>
        <w:rPr>
          <w:rFonts w:ascii="微软雅黑" w:hAnsi="微软雅黑" w:eastAsia="微软雅黑" w:cs="微软雅黑"/>
          <w:sz w:val="56"/>
          <w:szCs w:val="36"/>
        </w:rPr>
      </w:pPr>
    </w:p>
    <w:p w14:paraId="7A68FC68">
      <w:pPr>
        <w:rPr>
          <w:rFonts w:ascii="微软雅黑" w:hAnsi="微软雅黑" w:eastAsia="微软雅黑" w:cs="微软雅黑"/>
          <w:sz w:val="56"/>
          <w:szCs w:val="36"/>
        </w:rPr>
      </w:pPr>
    </w:p>
    <w:p w14:paraId="3DD51FB7">
      <w:pPr>
        <w:pStyle w:val="4"/>
        <w:jc w:val="center"/>
        <w:rPr>
          <w:rFonts w:ascii="微软雅黑" w:hAnsi="微软雅黑" w:eastAsia="微软雅黑" w:cs="微软雅黑"/>
        </w:rPr>
      </w:pPr>
      <w:bookmarkStart w:id="2" w:name="_Toc28787"/>
      <w:bookmarkStart w:id="3" w:name="_Toc3875"/>
      <w:r>
        <w:rPr>
          <w:rFonts w:hint="eastAsia" w:ascii="微软雅黑" w:hAnsi="微软雅黑" w:eastAsia="微软雅黑" w:cs="微软雅黑"/>
          <w:lang w:val="en-US" w:eastAsia="zh-CN"/>
        </w:rPr>
        <w:t>北京赢睿智学</w:t>
      </w:r>
      <w:r>
        <w:rPr>
          <w:rFonts w:hint="eastAsia" w:ascii="微软雅黑" w:hAnsi="微软雅黑" w:eastAsia="微软雅黑" w:cs="微软雅黑"/>
        </w:rPr>
        <w:t>科技有限公司</w:t>
      </w:r>
      <w:bookmarkEnd w:id="2"/>
      <w:bookmarkEnd w:id="3"/>
    </w:p>
    <w:p w14:paraId="38030E5C">
      <w:pPr>
        <w:pStyle w:val="4"/>
        <w:jc w:val="center"/>
        <w:rPr>
          <w:rFonts w:ascii="微软雅黑" w:hAnsi="微软雅黑" w:eastAsia="微软雅黑" w:cs="微软雅黑"/>
        </w:rPr>
      </w:pPr>
      <w:bookmarkStart w:id="4" w:name="_Toc27819"/>
      <w:bookmarkStart w:id="5" w:name="_Toc27406"/>
      <w:r>
        <w:rPr>
          <w:rFonts w:hint="eastAsia" w:ascii="微软雅黑" w:hAnsi="微软雅黑" w:eastAsia="微软雅黑" w:cs="微软雅黑"/>
        </w:rPr>
        <w:t>202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年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月</w:t>
      </w:r>
      <w:bookmarkEnd w:id="4"/>
      <w:bookmarkEnd w:id="5"/>
    </w:p>
    <w:p w14:paraId="767B5E2D"/>
    <w:p w14:paraId="7D66B84F">
      <w:pPr>
        <w:rPr>
          <w:rFonts w:asciiTheme="minorEastAsia" w:hAnsiTheme="minorEastAsia" w:eastAsiaTheme="minorEastAsia" w:cstheme="minorEastAsia"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</w:rPr>
        <w:br w:type="page"/>
      </w:r>
    </w:p>
    <w:sdt>
      <w:sdtPr>
        <w:rPr>
          <w:rFonts w:ascii="宋体" w:hAnsi="宋体" w:cs="Times New Roman"/>
          <w:kern w:val="0"/>
          <w:sz w:val="21"/>
          <w:szCs w:val="20"/>
        </w:rPr>
        <w:id w:val="14745263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cs="Times New Roman"/>
          <w:b/>
          <w:kern w:val="0"/>
          <w:sz w:val="21"/>
          <w:szCs w:val="20"/>
        </w:rPr>
      </w:sdtEndPr>
      <w:sdtContent>
        <w:p w14:paraId="6E4F5229">
          <w:pPr>
            <w:jc w:val="center"/>
            <w:rPr>
              <w:rFonts w:ascii="宋体" w:hAnsi="宋体"/>
              <w:sz w:val="21"/>
            </w:rPr>
          </w:pPr>
        </w:p>
        <w:p w14:paraId="213342CC">
          <w:pPr>
            <w:jc w:val="center"/>
            <w:rPr>
              <w:rFonts w:ascii="宋体" w:hAnsi="宋体"/>
              <w:sz w:val="21"/>
            </w:rPr>
          </w:pPr>
        </w:p>
        <w:p w14:paraId="2DC24F86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/>
              <w:b/>
              <w:bCs/>
              <w:sz w:val="32"/>
              <w:szCs w:val="32"/>
            </w:rPr>
            <w:t>目</w:t>
          </w:r>
          <w:r>
            <w:rPr>
              <w:rFonts w:hint="eastAsia" w:ascii="宋体" w:hAnsi="宋体"/>
              <w:b/>
              <w:bCs/>
              <w:sz w:val="32"/>
              <w:szCs w:val="32"/>
            </w:rPr>
            <w:t xml:space="preserve">  </w:t>
          </w:r>
          <w:r>
            <w:rPr>
              <w:rFonts w:ascii="宋体" w:hAnsi="宋体"/>
              <w:b/>
              <w:bCs/>
              <w:sz w:val="32"/>
              <w:szCs w:val="32"/>
            </w:rPr>
            <w:t>录</w:t>
          </w:r>
        </w:p>
        <w:p w14:paraId="3458DE05">
          <w:pPr>
            <w:pStyle w:val="7"/>
            <w:tabs>
              <w:tab w:val="right" w:leader="dot" w:pos="8306"/>
            </w:tabs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TOC \o "1-2" \h \u </w:instrText>
          </w:r>
          <w:r>
            <w:rPr>
              <w:sz w:val="28"/>
              <w:szCs w:val="28"/>
            </w:rPr>
            <w:fldChar w:fldCharType="separate"/>
          </w:r>
        </w:p>
        <w:p w14:paraId="64916075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"_Toc16199"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2"/>
            </w:rPr>
            <w:t>一、 系统简介</w:t>
          </w:r>
          <w:r>
            <w:tab/>
          </w:r>
          <w:r>
            <w:fldChar w:fldCharType="begin"/>
          </w:r>
          <w:r>
            <w:instrText xml:space="preserve"> PAGEREF _Toc16199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2FAC243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"_Toc22184"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2"/>
            </w:rPr>
            <w:t>二、 平台资源</w:t>
          </w:r>
          <w:r>
            <w:tab/>
          </w:r>
          <w:r>
            <w:fldChar w:fldCharType="begin"/>
          </w:r>
          <w:r>
            <w:instrText xml:space="preserve"> PAGEREF _Toc22184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3757E632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"_Toc25144"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 xml:space="preserve">三、 </w:t>
          </w:r>
          <w:r>
            <w:rPr>
              <w:rFonts w:hint="eastAsia" w:ascii="微软雅黑" w:hAnsi="微软雅黑" w:eastAsia="微软雅黑" w:cs="微软雅黑"/>
              <w:szCs w:val="22"/>
            </w:rPr>
            <w:t>学习辅导</w:t>
          </w:r>
          <w:r>
            <w:tab/>
          </w:r>
          <w:r>
            <w:fldChar w:fldCharType="begin"/>
          </w:r>
          <w:r>
            <w:instrText xml:space="preserve"> PAGEREF _Toc25144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476D8B9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"_Toc8736"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2"/>
            </w:rPr>
            <w:t>四、 模拟练习</w:t>
          </w:r>
          <w:r>
            <w:tab/>
          </w:r>
          <w:r>
            <w:fldChar w:fldCharType="begin"/>
          </w:r>
          <w:r>
            <w:instrText xml:space="preserve"> PAGEREF _Toc8736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2976EE8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"_Toc29580"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2"/>
            </w:rPr>
            <w:t>五、 成绩评价</w:t>
          </w:r>
          <w:r>
            <w:tab/>
          </w:r>
          <w:r>
            <w:fldChar w:fldCharType="begin"/>
          </w:r>
          <w:r>
            <w:instrText xml:space="preserve"> PAGEREF _Toc29580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769A995A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"_Toc24846"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2"/>
            </w:rPr>
            <w:t>六、 产品使用</w:t>
          </w:r>
          <w:r>
            <w:tab/>
          </w:r>
          <w:r>
            <w:fldChar w:fldCharType="begin"/>
          </w:r>
          <w:r>
            <w:instrText xml:space="preserve"> PAGEREF _Toc24846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03F1D4F1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"_Toc29607"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2"/>
            </w:rPr>
            <w:t>七、 产品服务</w:t>
          </w:r>
          <w:r>
            <w:tab/>
          </w:r>
          <w:r>
            <w:fldChar w:fldCharType="begin"/>
          </w:r>
          <w:r>
            <w:instrText xml:space="preserve"> PAGEREF _Toc29607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ED83082">
          <w:pPr>
            <w:pStyle w:val="16"/>
            <w:tabs>
              <w:tab w:val="right" w:leader="dot" w:pos="8306"/>
            </w:tabs>
            <w:spacing w:line="480" w:lineRule="auto"/>
            <w:ind w:left="480"/>
          </w:pPr>
          <w:r>
            <w:rPr>
              <w:szCs w:val="28"/>
            </w:rPr>
            <w:fldChar w:fldCharType="end"/>
          </w:r>
        </w:p>
      </w:sdtContent>
    </w:sdt>
    <w:p w14:paraId="57A9BB27">
      <w:pPr>
        <w:pStyle w:val="2"/>
        <w:spacing w:line="360" w:lineRule="auto"/>
        <w:jc w:val="center"/>
        <w:rPr>
          <w:rFonts w:asciiTheme="minorEastAsia" w:hAnsiTheme="minorEastAsia" w:eastAsiaTheme="minorEastAsia" w:cstheme="minorEastAsia"/>
          <w:b w:val="0"/>
          <w:bCs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</w:rPr>
        <w:br w:type="page"/>
      </w:r>
      <w:bookmarkStart w:id="6" w:name="_Toc32008"/>
      <w:bookmarkStart w:id="7" w:name="_Toc18315"/>
      <w:r>
        <w:rPr>
          <w:rFonts w:hint="eastAsia" w:asciiTheme="minorEastAsia" w:hAnsiTheme="minorEastAsia" w:eastAsiaTheme="minorEastAsia" w:cstheme="minorEastAsia"/>
          <w:sz w:val="36"/>
          <w:szCs w:val="36"/>
        </w:rPr>
        <w:t>《</w:t>
      </w:r>
      <w:r>
        <w:rPr>
          <w:rFonts w:hint="eastAsia" w:ascii="微软雅黑" w:hAnsi="微软雅黑" w:eastAsia="微软雅黑" w:cs="微软雅黑"/>
          <w:sz w:val="32"/>
          <w:szCs w:val="32"/>
        </w:rPr>
        <w:t>杰程·</w:t>
      </w:r>
      <w:r>
        <w:rPr>
          <w:rFonts w:hint="eastAsia" w:ascii="微软雅黑" w:hAnsi="微软雅黑" w:eastAsia="微软雅黑" w:cs="微软雅黑"/>
          <w:sz w:val="32"/>
          <w:szCs w:val="20"/>
        </w:rPr>
        <w:t>公考云课堂</w:t>
      </w:r>
      <w:bookmarkEnd w:id="6"/>
      <w:r>
        <w:rPr>
          <w:rFonts w:hint="eastAsia" w:asciiTheme="minorEastAsia" w:hAnsiTheme="minorEastAsia" w:eastAsiaTheme="minorEastAsia" w:cstheme="minorEastAsia"/>
          <w:sz w:val="36"/>
          <w:szCs w:val="36"/>
        </w:rPr>
        <w:t>》</w:t>
      </w:r>
      <w:r>
        <w:rPr>
          <w:rFonts w:hint="eastAsia" w:ascii="微软雅黑" w:hAnsi="微软雅黑" w:eastAsia="微软雅黑" w:cs="微软雅黑"/>
          <w:sz w:val="32"/>
          <w:szCs w:val="20"/>
        </w:rPr>
        <w:t>简介</w:t>
      </w:r>
      <w:bookmarkEnd w:id="7"/>
    </w:p>
    <w:p w14:paraId="1EC09B59">
      <w:pPr>
        <w:pStyle w:val="3"/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sz w:val="28"/>
          <w:szCs w:val="22"/>
        </w:rPr>
      </w:pPr>
      <w:bookmarkStart w:id="8" w:name="_Toc16199"/>
      <w:r>
        <w:rPr>
          <w:rFonts w:hint="eastAsia" w:ascii="微软雅黑" w:hAnsi="微软雅黑" w:eastAsia="微软雅黑" w:cs="微软雅黑"/>
          <w:sz w:val="28"/>
          <w:szCs w:val="22"/>
        </w:rPr>
        <w:t>系统简介</w:t>
      </w:r>
      <w:bookmarkEnd w:id="8"/>
    </w:p>
    <w:p w14:paraId="6B9E000D"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  <w:bCs/>
        </w:rPr>
      </w:pPr>
      <w:r>
        <w:rPr>
          <w:rFonts w:hint="eastAsia" w:asciiTheme="minorEastAsia" w:hAnsiTheme="minorEastAsia" w:eastAsiaTheme="minorEastAsia" w:cstheme="minorEastAsia"/>
          <w:bCs/>
        </w:rPr>
        <w:t>《杰程·公考云课堂》是</w:t>
      </w:r>
      <w:r>
        <w:rPr>
          <w:rFonts w:hint="eastAsia" w:asciiTheme="minorEastAsia" w:hAnsiTheme="minorEastAsia" w:cstheme="minorEastAsia"/>
          <w:bCs/>
        </w:rPr>
        <w:t>一个综合性公考辅导学习平台，具有在线</w:t>
      </w:r>
      <w:r>
        <w:rPr>
          <w:rFonts w:hint="eastAsia" w:asciiTheme="minorEastAsia" w:hAnsiTheme="minorEastAsia" w:eastAsiaTheme="minorEastAsia" w:cstheme="minorEastAsia"/>
          <w:bCs/>
        </w:rPr>
        <w:t>学习、</w:t>
      </w:r>
      <w:r>
        <w:rPr>
          <w:rFonts w:hint="eastAsia" w:asciiTheme="minorEastAsia" w:hAnsiTheme="minorEastAsia" w:cstheme="minorEastAsia"/>
          <w:bCs/>
        </w:rPr>
        <w:t>备考指导、巩固</w:t>
      </w:r>
      <w:r>
        <w:rPr>
          <w:rFonts w:hint="eastAsia" w:asciiTheme="minorEastAsia" w:hAnsiTheme="minorEastAsia" w:eastAsiaTheme="minorEastAsia" w:cstheme="minorEastAsia"/>
          <w:bCs/>
        </w:rPr>
        <w:t>练习、</w:t>
      </w:r>
      <w:r>
        <w:rPr>
          <w:rFonts w:hint="eastAsia" w:asciiTheme="minorEastAsia" w:hAnsiTheme="minorEastAsia" w:cstheme="minorEastAsia"/>
          <w:bCs/>
        </w:rPr>
        <w:t>自主</w:t>
      </w:r>
      <w:r>
        <w:rPr>
          <w:rFonts w:hint="eastAsia" w:asciiTheme="minorEastAsia" w:hAnsiTheme="minorEastAsia" w:eastAsiaTheme="minorEastAsia" w:cstheme="minorEastAsia"/>
          <w:bCs/>
        </w:rPr>
        <w:t>考试、模拟</w:t>
      </w:r>
      <w:r>
        <w:rPr>
          <w:rFonts w:hint="eastAsia" w:asciiTheme="minorEastAsia" w:hAnsiTheme="minorEastAsia" w:cstheme="minorEastAsia"/>
          <w:bCs/>
        </w:rPr>
        <w:t>实训</w:t>
      </w:r>
      <w:r>
        <w:rPr>
          <w:rFonts w:hint="eastAsia" w:asciiTheme="minorEastAsia" w:hAnsiTheme="minorEastAsia" w:eastAsiaTheme="minorEastAsia" w:cstheme="minorEastAsia"/>
          <w:bCs/>
        </w:rPr>
        <w:t>等功能</w:t>
      </w:r>
      <w:r>
        <w:rPr>
          <w:rFonts w:hint="eastAsia" w:asciiTheme="minorEastAsia" w:hAnsiTheme="minorEastAsia" w:cstheme="minorEastAsia"/>
          <w:bCs/>
        </w:rPr>
        <w:t>。包含了公务员、事业单位、选调生、军队文职、教师招聘、三支一扶、社区工作者等热门招聘考试的核心课程、专业题库及真题试卷</w:t>
      </w:r>
      <w:r>
        <w:rPr>
          <w:rFonts w:hint="eastAsia" w:asciiTheme="minorEastAsia" w:hAnsiTheme="minorEastAsia" w:eastAsiaTheme="minorEastAsia" w:cstheme="minorEastAsia"/>
        </w:rPr>
        <w:t>、备考资料、招考资讯</w:t>
      </w:r>
      <w:r>
        <w:rPr>
          <w:rFonts w:hint="eastAsia" w:asciiTheme="minorEastAsia" w:hAnsiTheme="minorEastAsia" w:cstheme="minorEastAsia"/>
          <w:bCs/>
        </w:rPr>
        <w:t>等学习资源。</w:t>
      </w:r>
      <w:r>
        <w:rPr>
          <w:rFonts w:hint="eastAsia" w:asciiTheme="minorEastAsia" w:hAnsiTheme="minorEastAsia" w:eastAsiaTheme="minorEastAsia" w:cstheme="minorEastAsia"/>
          <w:bCs/>
        </w:rPr>
        <w:t>学员</w:t>
      </w:r>
      <w:r>
        <w:rPr>
          <w:rFonts w:hint="eastAsia" w:asciiTheme="minorEastAsia" w:hAnsiTheme="minorEastAsia" w:cstheme="minorEastAsia"/>
          <w:bCs/>
        </w:rPr>
        <w:t>即</w:t>
      </w:r>
      <w:r>
        <w:rPr>
          <w:rFonts w:hint="eastAsia" w:asciiTheme="minorEastAsia" w:hAnsiTheme="minorEastAsia" w:eastAsiaTheme="minorEastAsia" w:cstheme="minorEastAsia"/>
          <w:bCs/>
        </w:rPr>
        <w:t>可以</w:t>
      </w:r>
      <w:r>
        <w:rPr>
          <w:rFonts w:hint="eastAsia" w:asciiTheme="minorEastAsia" w:hAnsiTheme="minorEastAsia" w:cstheme="minorEastAsia"/>
          <w:bCs/>
        </w:rPr>
        <w:t>进行系统性的知识学习，还可以</w:t>
      </w:r>
      <w:r>
        <w:rPr>
          <w:rFonts w:hint="eastAsia" w:asciiTheme="minorEastAsia" w:hAnsiTheme="minorEastAsia" w:eastAsiaTheme="minorEastAsia" w:cstheme="minorEastAsia"/>
          <w:bCs/>
        </w:rPr>
        <w:t>进行专项薄弱环节的集中训练，也可以</w:t>
      </w:r>
      <w:r>
        <w:rPr>
          <w:rFonts w:hint="eastAsia" w:asciiTheme="minorEastAsia" w:hAnsiTheme="minorEastAsia" w:cstheme="minorEastAsia"/>
          <w:bCs/>
        </w:rPr>
        <w:t>进行</w:t>
      </w:r>
      <w:r>
        <w:rPr>
          <w:rFonts w:hint="eastAsia" w:asciiTheme="minorEastAsia" w:hAnsiTheme="minorEastAsia" w:eastAsiaTheme="minorEastAsia" w:cstheme="minorEastAsia"/>
          <w:bCs/>
        </w:rPr>
        <w:t>考前强化练习和模拟自测。</w:t>
      </w:r>
      <w:r>
        <w:rPr>
          <w:rFonts w:hint="eastAsia" w:asciiTheme="minorEastAsia" w:hAnsiTheme="minorEastAsia" w:eastAsiaTheme="minorEastAsia" w:cstheme="minorEastAsia"/>
        </w:rPr>
        <w:t>为广大学员提供全方位的备考服务，帮助学员顺利就业。</w:t>
      </w:r>
    </w:p>
    <w:p w14:paraId="485FAE79"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591685" cy="5471795"/>
            <wp:effectExtent l="0" t="0" r="18415" b="14605"/>
            <wp:docPr id="1" name="图片 1" descr="杰程教育-考公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杰程教育-考公平台"/>
                    <pic:cNvPicPr>
                      <a:picLocks noChangeAspect="1"/>
                    </pic:cNvPicPr>
                  </pic:nvPicPr>
                  <pic:blipFill>
                    <a:blip r:embed="rId6"/>
                    <a:srcRect b="16050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B5F7">
      <w:pPr>
        <w:pStyle w:val="3"/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sz w:val="28"/>
          <w:szCs w:val="22"/>
        </w:rPr>
      </w:pPr>
      <w:bookmarkStart w:id="9" w:name="_Toc22184"/>
      <w:r>
        <w:rPr>
          <w:rFonts w:hint="eastAsia" w:ascii="微软雅黑" w:hAnsi="微软雅黑" w:eastAsia="微软雅黑" w:cs="微软雅黑"/>
          <w:sz w:val="28"/>
          <w:szCs w:val="22"/>
        </w:rPr>
        <w:t>平台资源</w:t>
      </w:r>
      <w:bookmarkEnd w:id="9"/>
    </w:p>
    <w:p w14:paraId="700E4762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师资团队：</w:t>
      </w:r>
      <w:r>
        <w:rPr>
          <w:rFonts w:hint="eastAsia" w:asciiTheme="minorEastAsia" w:hAnsiTheme="minorEastAsia" w:eastAsiaTheme="minorEastAsia" w:cstheme="minorEastAsia"/>
        </w:rPr>
        <w:t>由长期从事公考培训与教学的专业教师组成。他们深耕公考领域多年，对考试趋势有着敏锐洞察力，精研考试大纲，精准把握命题方向,通过深入浅出的讲解，帮助考生快速掌握考试要点，避免盲目复习。他们能够轻松驾驭复杂知识点，将枯燥的理论知识转化为生动有趣的案例，激发学员的学习兴趣，从考生的角度去分享备考心得、面试技巧及职场经验，培养学生的思维能力和解题技巧，让学生在轻松愉快的氛围中实现知识的内化与提升。</w:t>
      </w:r>
    </w:p>
    <w:p w14:paraId="31C632DD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考试科目：</w:t>
      </w:r>
      <w:r>
        <w:rPr>
          <w:rFonts w:hint="eastAsia" w:asciiTheme="minorEastAsia" w:hAnsiTheme="minorEastAsia" w:eastAsiaTheme="minorEastAsia" w:cstheme="minorEastAsia"/>
        </w:rPr>
        <w:t>《杰程·公考云课堂》汇集了</w:t>
      </w:r>
      <w:r>
        <w:rPr>
          <w:rFonts w:hint="eastAsia" w:asciiTheme="minorEastAsia" w:hAnsiTheme="minorEastAsia" w:cstheme="minorEastAsia"/>
          <w:bCs/>
        </w:rPr>
        <w:t>国家公务员、省级公务员、选调生、事业单位、军队文职、教师招聘、三支一扶、社区工作者</w:t>
      </w:r>
      <w:r>
        <w:rPr>
          <w:rFonts w:hint="eastAsia" w:asciiTheme="minorEastAsia" w:hAnsiTheme="minorEastAsia" w:eastAsiaTheme="minorEastAsia" w:cstheme="minorEastAsia"/>
        </w:rPr>
        <w:t>等热门招聘考试项目。涵盖各类考试的完整笔试科目如申论、行测等核心课程，同时提供系统性的面试理论课程。</w:t>
      </w:r>
    </w:p>
    <w:p w14:paraId="7363DC39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精品课程：</w:t>
      </w:r>
      <w:r>
        <w:rPr>
          <w:rFonts w:hint="eastAsia" w:asciiTheme="minorEastAsia" w:hAnsiTheme="minorEastAsia" w:eastAsiaTheme="minorEastAsia" w:cstheme="minorEastAsia"/>
        </w:rPr>
        <w:t>依据各类考试的考核要求，系统讲解各科目的基础知识和考点，结合大量典型题目练习，帮助考生打好基础。重点讲解各科目的核心考点、难点和热点问题，提供精选真题和模拟试卷，帮助考生查漏补缺，提高应试能力。面试课程针对面试技巧、现场模拟等环节，帮助考生全面提升面试水平。</w:t>
      </w:r>
    </w:p>
    <w:p w14:paraId="6CF4DBE2"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4679950" cy="2874010"/>
            <wp:effectExtent l="0" t="0" r="0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rcRect t="1794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40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F04467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海量题库：</w:t>
      </w:r>
      <w:r>
        <w:rPr>
          <w:rFonts w:hint="eastAsia" w:asciiTheme="minorEastAsia" w:hAnsiTheme="minorEastAsia" w:eastAsiaTheme="minorEastAsia" w:cstheme="minorEastAsia"/>
        </w:rPr>
        <w:t>题库中包含各类考试题目，题型丰富，如行测、申论、公基、面试等，依托功能强大的在线考试系统，可以进行自主习题练习，帮助考生打好基础。通过历年真题和模拟试卷练习，帮助考生熟悉题型和解题技巧，适应考试节奏，减少考试时的紧张感。</w:t>
      </w:r>
    </w:p>
    <w:p w14:paraId="0A805569"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4860290" cy="2376805"/>
            <wp:effectExtent l="9525" t="9525" r="26035" b="13970"/>
            <wp:docPr id="4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76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A54FF2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文库资料：</w:t>
      </w:r>
      <w:r>
        <w:rPr>
          <w:rFonts w:hint="eastAsia" w:asciiTheme="minorEastAsia" w:hAnsiTheme="minorEastAsia" w:eastAsiaTheme="minorEastAsia" w:cstheme="minorEastAsia"/>
        </w:rPr>
        <w:t>对科目知识内容进行收集、归纳，荟萃各类知识要点和精华，形成了针对性很强的学习资料，方便学生快速掌握和应用。</w:t>
      </w:r>
    </w:p>
    <w:p w14:paraId="49E25F65">
      <w:pPr>
        <w:pStyle w:val="3"/>
        <w:numPr>
          <w:ilvl w:val="0"/>
          <w:numId w:val="1"/>
        </w:numPr>
        <w:spacing w:line="360" w:lineRule="auto"/>
        <w:rPr>
          <w:rFonts w:asciiTheme="minorEastAsia" w:hAnsiTheme="minorEastAsia" w:eastAsiaTheme="minorEastAsia" w:cstheme="minorEastAsia"/>
        </w:rPr>
      </w:pPr>
      <w:bookmarkStart w:id="10" w:name="_Toc25144"/>
      <w:r>
        <w:rPr>
          <w:rFonts w:hint="eastAsia" w:ascii="微软雅黑" w:hAnsi="微软雅黑" w:eastAsia="微软雅黑" w:cs="微软雅黑"/>
          <w:sz w:val="28"/>
          <w:szCs w:val="22"/>
        </w:rPr>
        <w:t>学习辅导</w:t>
      </w:r>
      <w:bookmarkEnd w:id="10"/>
    </w:p>
    <w:p w14:paraId="423405CE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在线学习：</w:t>
      </w:r>
      <w:r>
        <w:rPr>
          <w:rFonts w:hint="eastAsia" w:asciiTheme="minorEastAsia" w:hAnsiTheme="minorEastAsia" w:eastAsiaTheme="minorEastAsia" w:cstheme="minorEastAsia"/>
        </w:rPr>
        <w:t>平台丰富的课程资源，个性化的学习方式，考生可以根据个人时间安排、学习进度和兴趣自由选择相关课程进行学习。平台对个人学习情况实时追踪和评估，随时了解和掌握个人学习成果。</w:t>
      </w:r>
    </w:p>
    <w:p w14:paraId="1C1BF770">
      <w:pPr>
        <w:spacing w:line="360" w:lineRule="auto"/>
        <w:jc w:val="center"/>
        <w:rPr>
          <w:rFonts w:asciiTheme="minorEastAsia" w:hAnsiTheme="minorEastAsia" w:eastAsiaTheme="minorEastAsia" w:cstheme="minorEastAsia"/>
          <w:b/>
          <w:bCs/>
        </w:rPr>
      </w:pPr>
      <w:r>
        <w:drawing>
          <wp:inline distT="0" distB="0" distL="114300" distR="114300">
            <wp:extent cx="4679950" cy="3056255"/>
            <wp:effectExtent l="9525" t="9525" r="15875" b="20320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0562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C344A3">
      <w:pPr>
        <w:spacing w:line="360" w:lineRule="auto"/>
        <w:ind w:firstLine="482" w:firstLineChars="200"/>
      </w:pPr>
      <w:r>
        <w:rPr>
          <w:rFonts w:hint="eastAsia" w:asciiTheme="minorEastAsia" w:hAnsiTheme="minorEastAsia" w:eastAsiaTheme="minorEastAsia" w:cstheme="minorEastAsia"/>
          <w:b/>
          <w:bCs/>
        </w:rPr>
        <w:t>考点梳理：</w:t>
      </w:r>
      <w:r>
        <w:rPr>
          <w:rFonts w:hint="eastAsia" w:asciiTheme="minorEastAsia" w:hAnsiTheme="minorEastAsia" w:eastAsiaTheme="minorEastAsia" w:cstheme="minorEastAsia"/>
        </w:rPr>
        <w:t>针对考试科目的考核要求和历年考题趋势，协助考生梳理学习路径，明确备考的重点、热点和难点。</w:t>
      </w:r>
    </w:p>
    <w:p w14:paraId="43EDA5A5">
      <w:pPr>
        <w:spacing w:line="360" w:lineRule="auto"/>
        <w:jc w:val="center"/>
      </w:pPr>
      <w:r>
        <w:drawing>
          <wp:inline distT="0" distB="0" distL="114300" distR="114300">
            <wp:extent cx="4211955" cy="2390140"/>
            <wp:effectExtent l="9525" t="9525" r="26670" b="1968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2390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DC978A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真题解析：</w:t>
      </w:r>
      <w:r>
        <w:rPr>
          <w:rFonts w:hint="eastAsia" w:asciiTheme="minorEastAsia" w:hAnsiTheme="minorEastAsia" w:eastAsiaTheme="minorEastAsia" w:cstheme="minorEastAsia"/>
        </w:rPr>
        <w:t>历年真题作为最有价值参考资源，准确反映考试目标和趋势，通过对历年考题度解析，把握学习方向，了解考试形式。</w:t>
      </w:r>
    </w:p>
    <w:p w14:paraId="3E263B16"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4211955" cy="2400935"/>
            <wp:effectExtent l="9525" t="9525" r="26670" b="279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2400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B46BC8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技巧解读：</w:t>
      </w:r>
      <w:r>
        <w:rPr>
          <w:rFonts w:hint="eastAsia" w:asciiTheme="minorEastAsia" w:hAnsiTheme="minorEastAsia" w:eastAsiaTheme="minorEastAsia" w:cstheme="minorEastAsia"/>
        </w:rPr>
        <w:t>充分发挥老师的教学经验，把课程内容与考题结合，指导学生考试答题技巧和应试策略。</w:t>
      </w:r>
    </w:p>
    <w:p w14:paraId="373FB040"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4211955" cy="2332990"/>
            <wp:effectExtent l="9525" t="9525" r="26670" b="1968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2332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2AE1E7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随堂练习：</w:t>
      </w:r>
      <w:r>
        <w:rPr>
          <w:rFonts w:hint="eastAsia" w:asciiTheme="minorEastAsia" w:hAnsiTheme="minorEastAsia" w:eastAsiaTheme="minorEastAsia" w:cstheme="minorEastAsia"/>
        </w:rPr>
        <w:t>每节课程学习结束后，可以进行</w:t>
      </w:r>
      <w:r>
        <w:rPr>
          <w:rFonts w:asciiTheme="minorEastAsia" w:hAnsiTheme="minorEastAsia" w:eastAsiaTheme="minorEastAsia" w:cstheme="minorEastAsia"/>
        </w:rPr>
        <w:t>随堂测试，巩固</w:t>
      </w:r>
      <w:r>
        <w:rPr>
          <w:rFonts w:hint="eastAsia" w:asciiTheme="minorEastAsia" w:hAnsiTheme="minorEastAsia" w:eastAsiaTheme="minorEastAsia" w:cstheme="minorEastAsia"/>
        </w:rPr>
        <w:t>本节课的</w:t>
      </w:r>
      <w:r>
        <w:rPr>
          <w:rFonts w:asciiTheme="minorEastAsia" w:hAnsiTheme="minorEastAsia" w:eastAsiaTheme="minorEastAsia" w:cstheme="minorEastAsia"/>
        </w:rPr>
        <w:t>知识点，梯度提升</w:t>
      </w:r>
      <w:r>
        <w:rPr>
          <w:rFonts w:hint="eastAsia" w:asciiTheme="minorEastAsia" w:hAnsiTheme="minorEastAsia" w:eastAsiaTheme="minorEastAsia" w:cstheme="minorEastAsia"/>
        </w:rPr>
        <w:t>学习成绩。</w:t>
      </w:r>
    </w:p>
    <w:p w14:paraId="198303C2"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4211955" cy="1984375"/>
            <wp:effectExtent l="9525" t="9525" r="26670" b="2540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b="9774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1984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A674F0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关联学习</w:t>
      </w:r>
      <w:r>
        <w:rPr>
          <w:rFonts w:hint="eastAsia" w:asciiTheme="minorEastAsia" w:hAnsiTheme="minorEastAsia" w:eastAsiaTheme="minorEastAsia" w:cstheme="minorEastAsia"/>
        </w:rPr>
        <w:t>：以知识体系为中心构建各类学习资源，实现知识点、考点、课程、试题间的相互关联，实现学习数据检索与反馈，完成学习目标。</w:t>
      </w:r>
    </w:p>
    <w:p w14:paraId="3B458151"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4679950" cy="2499360"/>
            <wp:effectExtent l="9525" t="9525" r="15875" b="247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99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82C1A4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记笔记：</w:t>
      </w:r>
      <w:r>
        <w:rPr>
          <w:rFonts w:hint="eastAsia" w:asciiTheme="minorEastAsia" w:hAnsiTheme="minorEastAsia" w:eastAsiaTheme="minorEastAsia" w:cstheme="minorEastAsia"/>
        </w:rPr>
        <w:t>每节视频课提供笔记功能，可以边听边做笔记，记录学习心得和学习要点。</w:t>
      </w:r>
    </w:p>
    <w:p w14:paraId="54FE5836">
      <w:pPr>
        <w:spacing w:line="360" w:lineRule="auto"/>
        <w:rPr>
          <w:rFonts w:asciiTheme="minorEastAsia" w:hAnsiTheme="minorEastAsia" w:eastAsiaTheme="minorEastAsia" w:cstheme="minorEastAsia"/>
        </w:rPr>
      </w:pPr>
    </w:p>
    <w:p w14:paraId="6C3713E7">
      <w:pPr>
        <w:pStyle w:val="3"/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sz w:val="28"/>
          <w:szCs w:val="22"/>
        </w:rPr>
      </w:pPr>
      <w:bookmarkStart w:id="11" w:name="_Toc8736"/>
      <w:r>
        <w:rPr>
          <w:rFonts w:hint="eastAsia" w:ascii="微软雅黑" w:hAnsi="微软雅黑" w:eastAsia="微软雅黑" w:cs="微软雅黑"/>
          <w:sz w:val="28"/>
          <w:szCs w:val="22"/>
        </w:rPr>
        <w:t>模拟练习</w:t>
      </w:r>
      <w:bookmarkEnd w:id="11"/>
    </w:p>
    <w:p w14:paraId="66538FBD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知识点和考点练习：《</w:t>
      </w:r>
      <w:r>
        <w:rPr>
          <w:rFonts w:hint="eastAsia" w:asciiTheme="minorEastAsia" w:hAnsiTheme="minorEastAsia" w:eastAsiaTheme="minorEastAsia" w:cstheme="minorEastAsia"/>
        </w:rPr>
        <w:t>杰程·</w:t>
      </w:r>
      <w:r>
        <w:rPr>
          <w:rFonts w:hint="eastAsia" w:asciiTheme="minorEastAsia" w:hAnsiTheme="minorEastAsia" w:eastAsiaTheme="minorEastAsia" w:cstheme="minorEastAsia"/>
          <w:bCs/>
        </w:rPr>
        <w:t>公考</w:t>
      </w:r>
      <w:r>
        <w:rPr>
          <w:rFonts w:hint="eastAsia" w:asciiTheme="minorEastAsia" w:hAnsiTheme="minorEastAsia" w:eastAsiaTheme="minorEastAsia" w:cstheme="minorEastAsia"/>
        </w:rPr>
        <w:t>云课堂</w:t>
      </w:r>
      <w:r>
        <w:rPr>
          <w:rFonts w:hint="eastAsia" w:asciiTheme="minorEastAsia" w:hAnsiTheme="minorEastAsia" w:eastAsiaTheme="minorEastAsia" w:cstheme="minorEastAsia"/>
          <w:b/>
          <w:bCs/>
        </w:rPr>
        <w:t>》</w:t>
      </w:r>
      <w:r>
        <w:rPr>
          <w:rFonts w:hint="eastAsia" w:asciiTheme="minorEastAsia" w:hAnsiTheme="minorEastAsia" w:eastAsiaTheme="minorEastAsia" w:cstheme="minorEastAsia"/>
        </w:rPr>
        <w:t>按照科目章节、知识点、考点匹配相关题目，学员根据学习情况任意选择组成动态试卷，进行强化练习。</w:t>
      </w:r>
    </w:p>
    <w:p w14:paraId="478B4A16"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3729355" cy="2628265"/>
            <wp:effectExtent l="9525" t="9525" r="1397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26282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14CCF9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AI辅助解析：</w:t>
      </w:r>
      <w:r>
        <w:rPr>
          <w:rFonts w:hint="eastAsia" w:asciiTheme="minorEastAsia" w:hAnsiTheme="minorEastAsia" w:eastAsiaTheme="minorEastAsia" w:cstheme="minorEastAsia"/>
        </w:rPr>
        <w:t xml:space="preserve">智能辅助系统根据题目文本的关键词、语义等信息，推送题目详解、相关知识等内容，帮助用户更好地理解和掌握题目所涉及的知识点。 </w:t>
      </w:r>
    </w:p>
    <w:p w14:paraId="5DAAB823">
      <w:pPr>
        <w:spacing w:line="360" w:lineRule="auto"/>
        <w:rPr>
          <w:rFonts w:asciiTheme="minorEastAsia" w:hAnsiTheme="minorEastAsia" w:eastAsiaTheme="minorEastAsia" w:cstheme="minorEastAsia"/>
          <w:b/>
          <w:bCs/>
        </w:rPr>
      </w:pPr>
      <w:r>
        <w:drawing>
          <wp:inline distT="0" distB="0" distL="114300" distR="114300">
            <wp:extent cx="5269865" cy="540385"/>
            <wp:effectExtent l="0" t="0" r="0" b="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b="871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0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58340"/>
            <wp:effectExtent l="9525" t="9525" r="16510" b="1333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t="5337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58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C1C4B8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自由组卷：</w:t>
      </w:r>
      <w:r>
        <w:rPr>
          <w:rFonts w:hint="eastAsia" w:asciiTheme="minorEastAsia" w:hAnsiTheme="minorEastAsia" w:eastAsiaTheme="minorEastAsia" w:cstheme="minorEastAsia"/>
        </w:rPr>
        <w:t>按照科目内容、题目来源、试题类型、题目数量自主组卷，达到强化练习之目的。</w:t>
      </w:r>
    </w:p>
    <w:p w14:paraId="5A88F5EA">
      <w:pPr>
        <w:spacing w:line="360" w:lineRule="auto"/>
        <w:jc w:val="center"/>
      </w:pPr>
      <w:r>
        <w:drawing>
          <wp:inline distT="0" distB="0" distL="114300" distR="114300">
            <wp:extent cx="1871980" cy="2019300"/>
            <wp:effectExtent l="9525" t="9525" r="23495" b="952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019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88970" cy="2013585"/>
            <wp:effectExtent l="9525" t="9525" r="20955" b="1524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0135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0D971D">
      <w:pPr>
        <w:spacing w:line="360" w:lineRule="auto"/>
        <w:ind w:firstLine="482" w:firstLineChars="200"/>
      </w:pPr>
      <w:r>
        <w:rPr>
          <w:rFonts w:hint="eastAsia" w:asciiTheme="minorEastAsia" w:hAnsiTheme="minorEastAsia" w:eastAsiaTheme="minorEastAsia" w:cstheme="minorEastAsia"/>
          <w:b/>
          <w:bCs/>
        </w:rPr>
        <w:t>真题模拟：</w:t>
      </w:r>
      <w:r>
        <w:rPr>
          <w:rFonts w:hint="eastAsia" w:asciiTheme="minorEastAsia" w:hAnsiTheme="minorEastAsia" w:eastAsiaTheme="minorEastAsia" w:cstheme="minorEastAsia"/>
        </w:rPr>
        <w:t>杰程云课堂收集和整理各考试科目的历年真题模拟试卷，并提供答案和题目解析等内容。根据科目、试卷、年度选择真题和模拟试卷。</w:t>
      </w:r>
    </w:p>
    <w:p w14:paraId="60605388">
      <w:pPr>
        <w:spacing w:line="360" w:lineRule="auto"/>
        <w:jc w:val="center"/>
      </w:pPr>
      <w:r>
        <w:drawing>
          <wp:inline distT="0" distB="0" distL="114300" distR="114300">
            <wp:extent cx="4679950" cy="2625725"/>
            <wp:effectExtent l="9525" t="9525" r="15875" b="1270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25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6B39F3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错题练习：</w:t>
      </w:r>
      <w:r>
        <w:rPr>
          <w:rFonts w:asciiTheme="minorEastAsia" w:hAnsiTheme="minorEastAsia" w:eastAsiaTheme="minorEastAsia" w:cstheme="minorEastAsia"/>
        </w:rPr>
        <w:t>错题收藏+考试记录</w:t>
      </w:r>
      <w:r>
        <w:rPr>
          <w:rFonts w:hint="eastAsia" w:asciiTheme="minorEastAsia" w:hAnsiTheme="minorEastAsia" w:eastAsiaTheme="minorEastAsia" w:cstheme="minorEastAsia"/>
        </w:rPr>
        <w:t>，</w:t>
      </w:r>
      <w:r>
        <w:rPr>
          <w:rFonts w:asciiTheme="minorEastAsia" w:hAnsiTheme="minorEastAsia" w:eastAsiaTheme="minorEastAsia" w:cstheme="minorEastAsia"/>
        </w:rPr>
        <w:t>可以将用户做题过程中的错题收藏在错题库中，方便用户针对性练习</w:t>
      </w:r>
      <w:r>
        <w:rPr>
          <w:rFonts w:hint="eastAsia" w:asciiTheme="minorEastAsia" w:hAnsiTheme="minorEastAsia" w:eastAsiaTheme="minorEastAsia" w:cstheme="minorEastAsia"/>
        </w:rPr>
        <w:t>。</w:t>
      </w:r>
    </w:p>
    <w:p w14:paraId="72761A39"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4679950" cy="2966720"/>
            <wp:effectExtent l="9525" t="9525" r="15875" b="1460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966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63112E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asciiTheme="minorEastAsia" w:hAnsiTheme="minorEastAsia" w:eastAsiaTheme="minorEastAsia" w:cstheme="minorEastAsia"/>
          <w:b/>
          <w:bCs/>
        </w:rPr>
        <w:t>自主</w:t>
      </w:r>
      <w:r>
        <w:rPr>
          <w:rFonts w:hint="eastAsia" w:asciiTheme="minorEastAsia" w:hAnsiTheme="minorEastAsia" w:eastAsiaTheme="minorEastAsia" w:cstheme="minorEastAsia"/>
          <w:b/>
          <w:bCs/>
        </w:rPr>
        <w:t>评分：</w:t>
      </w:r>
      <w:r>
        <w:rPr>
          <w:rFonts w:asciiTheme="minorEastAsia" w:hAnsiTheme="minorEastAsia" w:eastAsiaTheme="minorEastAsia" w:cstheme="minorEastAsia"/>
        </w:rPr>
        <w:t>客观题自动阅卷，填空题自动阅卷，支持小题判分，支持填空题每空打分。</w:t>
      </w:r>
    </w:p>
    <w:p w14:paraId="72F08838">
      <w:pPr>
        <w:pStyle w:val="3"/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sz w:val="28"/>
          <w:szCs w:val="22"/>
        </w:rPr>
      </w:pPr>
      <w:bookmarkStart w:id="12" w:name="_Toc29580"/>
      <w:r>
        <w:rPr>
          <w:rFonts w:hint="eastAsia" w:ascii="微软雅黑" w:hAnsi="微软雅黑" w:eastAsia="微软雅黑" w:cs="微软雅黑"/>
          <w:sz w:val="28"/>
          <w:szCs w:val="22"/>
        </w:rPr>
        <w:t>成绩评价</w:t>
      </w:r>
      <w:bookmarkEnd w:id="12"/>
    </w:p>
    <w:p w14:paraId="767F58C3"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系统实时记录用户的课程学习情况和考试测评情况，包括课程学习进度、试题和试卷答题，支持视频续听、试卷续答、查看解析等，全面反映本人学习状况。</w:t>
      </w:r>
    </w:p>
    <w:p w14:paraId="50C06C92">
      <w:pPr>
        <w:spacing w:line="360" w:lineRule="auto"/>
        <w:jc w:val="center"/>
      </w:pPr>
      <w:r>
        <w:drawing>
          <wp:inline distT="0" distB="0" distL="114300" distR="114300">
            <wp:extent cx="4679950" cy="2767965"/>
            <wp:effectExtent l="9525" t="9525" r="15875" b="2286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67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3EADAC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学习档案：</w:t>
      </w:r>
      <w:r>
        <w:rPr>
          <w:rFonts w:hint="eastAsia" w:asciiTheme="minorEastAsia" w:hAnsiTheme="minorEastAsia" w:eastAsiaTheme="minorEastAsia" w:cstheme="minorEastAsia"/>
        </w:rPr>
        <w:t>每位学员建设详细的学习档案，包括课程学习、答题、练习、考试等过程进行实时记录。</w:t>
      </w:r>
    </w:p>
    <w:p w14:paraId="020C4E6E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成绩统计：</w:t>
      </w:r>
      <w:r>
        <w:rPr>
          <w:rFonts w:hint="eastAsia" w:asciiTheme="minorEastAsia" w:hAnsiTheme="minorEastAsia" w:eastAsiaTheme="minorEastAsia" w:cstheme="minorEastAsia"/>
        </w:rPr>
        <w:t>将题目与知识点关联，并针对各类考试形式题目对错分析。</w:t>
      </w:r>
    </w:p>
    <w:p w14:paraId="076D5A87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能力评估：</w:t>
      </w:r>
      <w:r>
        <w:rPr>
          <w:rFonts w:asciiTheme="minorEastAsia" w:hAnsiTheme="minorEastAsia" w:eastAsiaTheme="minorEastAsia" w:cstheme="minorEastAsia"/>
        </w:rPr>
        <w:t>自动判卷，生成试卷分数和详细的解析报告、知识点掌握报告</w:t>
      </w:r>
    </w:p>
    <w:p w14:paraId="55AE2718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考点分析:</w:t>
      </w:r>
      <w:r>
        <w:rPr>
          <w:rFonts w:asciiTheme="minorEastAsia" w:hAnsiTheme="minorEastAsia" w:eastAsiaTheme="minorEastAsia" w:cstheme="minorEastAsia"/>
        </w:rPr>
        <w:t>根据做题练习生成能力透析报告，按科目区分，根据错题统计分析暴露薄弱考点</w:t>
      </w:r>
      <w:r>
        <w:rPr>
          <w:rFonts w:hint="eastAsia" w:asciiTheme="minorEastAsia" w:hAnsiTheme="minorEastAsia" w:eastAsiaTheme="minorEastAsia" w:cstheme="minorEastAsia"/>
        </w:rPr>
        <w:t>。</w:t>
      </w:r>
    </w:p>
    <w:p w14:paraId="01B14610">
      <w:pPr>
        <w:spacing w:line="360" w:lineRule="auto"/>
        <w:jc w:val="center"/>
        <w:rPr>
          <w:rFonts w:asciiTheme="minorEastAsia" w:hAnsiTheme="minorEastAsia" w:eastAsiaTheme="minorEastAsia" w:cstheme="minorEastAsia"/>
          <w:bCs/>
        </w:rPr>
      </w:pPr>
      <w:r>
        <w:drawing>
          <wp:inline distT="0" distB="0" distL="114300" distR="114300">
            <wp:extent cx="4679950" cy="2056130"/>
            <wp:effectExtent l="9525" t="9525" r="15875" b="10795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56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CFDFE4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移动端云同步：</w:t>
      </w:r>
      <w:r>
        <w:rPr>
          <w:rFonts w:hint="eastAsia" w:asciiTheme="minorEastAsia" w:hAnsiTheme="minorEastAsia" w:eastAsiaTheme="minorEastAsia" w:cstheme="minorEastAsia"/>
        </w:rPr>
        <w:t>一个账户多终端自适应学习：支持PC端、PAD端各种常用浏览器学习；支持安卓、苹果手机微信H5页面学习，通过与微信公众号绑定，实现手机端应用；支持手机端APP应用。</w:t>
      </w:r>
    </w:p>
    <w:p w14:paraId="54BB1C67"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440180" cy="3044825"/>
            <wp:effectExtent l="64135" t="64135" r="76835" b="72390"/>
            <wp:docPr id="18" name="图片 18" descr="Screenshot_20230226-130435_We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30226-130435_WeCha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algn="ctr" rotWithShape="0">
                        <a:prstClr val="black">
                          <a:alpha val="51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 w:cstheme="minorEastAsia"/>
        </w:rPr>
        <w:drawing>
          <wp:inline distT="0" distB="0" distL="114300" distR="114300">
            <wp:extent cx="1440180" cy="3041015"/>
            <wp:effectExtent l="64135" t="64135" r="76835" b="76200"/>
            <wp:docPr id="24" name="图片 24" descr="Screenshot_20230226-131202_We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230226-131202_WeChat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algn="ctr" rotWithShape="0">
                        <a:prstClr val="black">
                          <a:alpha val="51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 w:cstheme="minorEastAsia"/>
        </w:rPr>
        <w:drawing>
          <wp:inline distT="0" distB="0" distL="114300" distR="114300">
            <wp:extent cx="1440180" cy="3042285"/>
            <wp:effectExtent l="64135" t="64135" r="76835" b="74930"/>
            <wp:docPr id="2" name="图片 2" descr="Screenshot_20230406-143425_We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30406-143425_WeChat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algn="ctr" rotWithShape="0">
                        <a:prstClr val="black">
                          <a:alpha val="51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1A590D">
      <w:pPr>
        <w:pStyle w:val="3"/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sz w:val="28"/>
          <w:szCs w:val="22"/>
        </w:rPr>
      </w:pPr>
      <w:bookmarkStart w:id="13" w:name="_Toc24846"/>
      <w:r>
        <w:rPr>
          <w:rFonts w:hint="eastAsia" w:ascii="微软雅黑" w:hAnsi="微软雅黑" w:eastAsia="微软雅黑" w:cs="微软雅黑"/>
          <w:sz w:val="28"/>
          <w:szCs w:val="22"/>
        </w:rPr>
        <w:t>产品使用</w:t>
      </w:r>
      <w:bookmarkEnd w:id="13"/>
    </w:p>
    <w:p w14:paraId="44924695"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杰程云课堂平台以String Boot +Spring Cloud +MyBatis框架为中心，应用开发符合String Boot 、Spring Cloud和MyBatis标准，采用无人员数量限制的大并发应用。杰程云课堂采用注册账号登录，便于在个人中心记录详细学习过程和资源操作。</w:t>
      </w:r>
    </w:p>
    <w:p w14:paraId="0F51430A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登录方式：</w:t>
      </w:r>
    </w:p>
    <w:p w14:paraId="53CC23A9"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方式1：</w:t>
      </w:r>
      <w:r>
        <w:fldChar w:fldCharType="begin"/>
      </w:r>
      <w:r>
        <w:instrText xml:space="preserve"> HYPERLINK "https://kg.jiecedu.net/web/index" </w:instrText>
      </w:r>
      <w:r>
        <w:fldChar w:fldCharType="separate"/>
      </w:r>
      <w:r>
        <w:rPr>
          <w:rStyle w:val="13"/>
          <w:rFonts w:asciiTheme="minorEastAsia" w:hAnsiTheme="minorEastAsia" w:eastAsiaTheme="minorEastAsia" w:cstheme="minorEastAsia"/>
        </w:rPr>
        <w:t>https://kg.jiecedu.net/web/index</w:t>
      </w:r>
      <w:r>
        <w:rPr>
          <w:rStyle w:val="13"/>
          <w:rFonts w:asciiTheme="minorEastAsia" w:hAnsiTheme="minorEastAsia" w:eastAsiaTheme="minorEastAsia" w:cstheme="minorEastAsia"/>
        </w:rPr>
        <w:fldChar w:fldCharType="end"/>
      </w:r>
    </w:p>
    <w:p w14:paraId="6C6F0EDE"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方式2：点击图书馆数字资源相关链接</w:t>
      </w:r>
    </w:p>
    <w:p w14:paraId="49D4272E"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方式3：关注 “杰程云课堂” 微信公众号或扫描二维码</w:t>
      </w:r>
    </w:p>
    <w:p w14:paraId="58850B26">
      <w:pPr>
        <w:spacing w:line="360" w:lineRule="auto"/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1900555" cy="1900555"/>
            <wp:effectExtent l="0" t="0" r="4445" b="444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92EF07">
      <w:pPr>
        <w:widowControl/>
        <w:spacing w:line="360" w:lineRule="auto"/>
        <w:rPr>
          <w:rFonts w:cs="Times New Roman" w:asciiTheme="minorEastAsia" w:hAnsiTheme="minorEastAsia" w:eastAsiaTheme="minorEastAsia"/>
          <w:kern w:val="0"/>
        </w:rPr>
      </w:pPr>
      <w:r>
        <w:rPr>
          <w:rFonts w:cs="Helvetica" w:asciiTheme="minorEastAsia" w:hAnsiTheme="minorEastAsia" w:eastAsiaTheme="minorEastAsia"/>
          <w:b/>
          <w:bCs/>
          <w:color w:val="3E3E3E"/>
          <w:spacing w:val="7"/>
          <w:kern w:val="0"/>
        </w:rPr>
        <w:t>登录提示：</w:t>
      </w:r>
    </w:p>
    <w:p w14:paraId="04B3B1D1">
      <w:pPr>
        <w:widowControl/>
        <w:spacing w:line="360" w:lineRule="auto"/>
        <w:rPr>
          <w:rFonts w:cs="Helvetica" w:asciiTheme="minorEastAsia" w:hAnsiTheme="minorEastAsia" w:eastAsiaTheme="minorEastAsia"/>
          <w:bCs/>
          <w:color w:val="FF0000"/>
          <w:spacing w:val="7"/>
          <w:kern w:val="0"/>
        </w:rPr>
      </w:pPr>
      <w:r>
        <w:rPr>
          <w:rFonts w:hint="eastAsia" w:cs="Helvetica" w:asciiTheme="minorEastAsia" w:hAnsiTheme="minorEastAsia" w:eastAsiaTheme="minorEastAsia"/>
          <w:bCs/>
          <w:spacing w:val="7"/>
          <w:kern w:val="0"/>
        </w:rPr>
        <w:t>1、校园网I</w:t>
      </w:r>
      <w:r>
        <w:rPr>
          <w:rFonts w:cs="Helvetica" w:asciiTheme="minorEastAsia" w:hAnsiTheme="minorEastAsia" w:eastAsiaTheme="minorEastAsia"/>
          <w:bCs/>
          <w:spacing w:val="7"/>
          <w:kern w:val="0"/>
        </w:rPr>
        <w:t>P</w:t>
      </w:r>
      <w:r>
        <w:rPr>
          <w:rFonts w:hint="eastAsia" w:cs="Helvetica" w:asciiTheme="minorEastAsia" w:hAnsiTheme="minorEastAsia" w:eastAsiaTheme="minorEastAsia"/>
          <w:bCs/>
          <w:spacing w:val="7"/>
          <w:kern w:val="0"/>
        </w:rPr>
        <w:t>范围内可以直接访问。</w:t>
      </w:r>
    </w:p>
    <w:p w14:paraId="077B34AF">
      <w:pPr>
        <w:widowControl/>
        <w:spacing w:line="360" w:lineRule="auto"/>
        <w:rPr>
          <w:rFonts w:cs="Times New Roman" w:asciiTheme="minorEastAsia" w:hAnsiTheme="minorEastAsia" w:eastAsiaTheme="minorEastAsia"/>
          <w:b/>
          <w:bCs/>
          <w:color w:val="FF0000"/>
          <w:kern w:val="0"/>
        </w:rPr>
      </w:pPr>
      <w:r>
        <w:rPr>
          <w:rFonts w:cs="Helvetica" w:asciiTheme="minorEastAsia" w:hAnsiTheme="minorEastAsia" w:eastAsiaTheme="minorEastAsia"/>
          <w:b/>
          <w:bCs/>
          <w:color w:val="FF0000"/>
          <w:spacing w:val="7"/>
          <w:kern w:val="0"/>
        </w:rPr>
        <w:t>2、首次登录用户，</w:t>
      </w:r>
      <w:r>
        <w:rPr>
          <w:rFonts w:hint="eastAsia" w:cs="Helvetica" w:asciiTheme="minorEastAsia" w:hAnsiTheme="minorEastAsia" w:eastAsiaTheme="minorEastAsia"/>
          <w:b/>
          <w:bCs/>
          <w:color w:val="FF0000"/>
          <w:spacing w:val="7"/>
          <w:kern w:val="0"/>
        </w:rPr>
        <w:t>建议</w:t>
      </w:r>
      <w:r>
        <w:rPr>
          <w:rFonts w:cs="Helvetica" w:asciiTheme="minorEastAsia" w:hAnsiTheme="minorEastAsia" w:eastAsiaTheme="minorEastAsia"/>
          <w:b/>
          <w:bCs/>
          <w:color w:val="FF0000"/>
          <w:spacing w:val="7"/>
          <w:kern w:val="0"/>
        </w:rPr>
        <w:t>先在校园网IP范围内注册</w:t>
      </w:r>
      <w:r>
        <w:rPr>
          <w:rFonts w:hint="eastAsia" w:cs="Helvetica" w:asciiTheme="minorEastAsia" w:hAnsiTheme="minorEastAsia" w:eastAsiaTheme="minorEastAsia"/>
          <w:b/>
          <w:bCs/>
          <w:color w:val="FF0000"/>
          <w:spacing w:val="7"/>
          <w:kern w:val="0"/>
        </w:rPr>
        <w:t>个人账号，通过账号登录可以使用完整功能</w:t>
      </w:r>
      <w:r>
        <w:rPr>
          <w:rFonts w:cs="Helvetica" w:asciiTheme="minorEastAsia" w:hAnsiTheme="minorEastAsia" w:eastAsiaTheme="minorEastAsia"/>
          <w:b/>
          <w:bCs/>
          <w:color w:val="FF0000"/>
          <w:spacing w:val="7"/>
          <w:kern w:val="0"/>
        </w:rPr>
        <w:t>。</w:t>
      </w:r>
    </w:p>
    <w:p w14:paraId="22CEF659">
      <w:pPr>
        <w:spacing w:line="360" w:lineRule="auto"/>
      </w:pPr>
      <w:r>
        <w:rPr>
          <w:rFonts w:cs="Helvetica" w:asciiTheme="minorEastAsia" w:hAnsiTheme="minorEastAsia" w:eastAsiaTheme="minorEastAsia"/>
          <w:color w:val="3E3E3E"/>
          <w:spacing w:val="7"/>
          <w:sz w:val="21"/>
        </w:rPr>
        <w:t>3、已注册的账号不再受IP限制，但每次登录必须用账号和密码。务必记住您的账号和密码，忘记密码可用“忘记密码”找回！</w:t>
      </w:r>
    </w:p>
    <w:p w14:paraId="59560EFA">
      <w:pPr>
        <w:pStyle w:val="3"/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sz w:val="28"/>
          <w:szCs w:val="22"/>
        </w:rPr>
      </w:pPr>
      <w:bookmarkStart w:id="14" w:name="_Toc29607"/>
      <w:r>
        <w:rPr>
          <w:rFonts w:hint="eastAsia" w:ascii="微软雅黑" w:hAnsi="微软雅黑" w:eastAsia="微软雅黑" w:cs="微软雅黑"/>
          <w:sz w:val="28"/>
          <w:szCs w:val="22"/>
        </w:rPr>
        <w:t>产品服务</w:t>
      </w:r>
      <w:bookmarkEnd w:id="14"/>
    </w:p>
    <w:p w14:paraId="00C60E12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培训服务：</w:t>
      </w:r>
      <w:r>
        <w:rPr>
          <w:rFonts w:hint="eastAsia" w:asciiTheme="minorEastAsia" w:hAnsiTheme="minorEastAsia" w:eastAsiaTheme="minorEastAsia" w:cstheme="minorEastAsia"/>
        </w:rPr>
        <w:t>免费开通调试，免费人员培训、技术支持，提供2次以上产品使用指导培训。</w:t>
      </w:r>
    </w:p>
    <w:p w14:paraId="53BD860A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维护服务：</w:t>
      </w:r>
      <w:r>
        <w:rPr>
          <w:rFonts w:hint="eastAsia" w:asciiTheme="minorEastAsia" w:hAnsiTheme="minorEastAsia" w:eastAsiaTheme="minorEastAsia" w:cstheme="minorEastAsia"/>
        </w:rPr>
        <w:t>问题反馈2小时内作出响应，采用电话和远程方式，重大问题专人上门/现场维护，提供7*24小时的客户服务。</w:t>
      </w:r>
    </w:p>
    <w:p w14:paraId="42E06164">
      <w:pPr>
        <w:spacing w:line="360" w:lineRule="auto"/>
        <w:ind w:firstLine="482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更新服务：</w:t>
      </w:r>
      <w:r>
        <w:rPr>
          <w:rFonts w:hint="eastAsia" w:asciiTheme="minorEastAsia" w:hAnsiTheme="minorEastAsia" w:eastAsiaTheme="minorEastAsia" w:cstheme="minorEastAsia"/>
        </w:rPr>
        <w:t>一年以内享受图书题库免费更新和一年以内免费进行系统升级等。</w:t>
      </w:r>
    </w:p>
    <w:p w14:paraId="14C66881">
      <w:pPr>
        <w:spacing w:line="360" w:lineRule="auto"/>
        <w:rPr>
          <w:rFonts w:asciiTheme="minorEastAsia" w:hAnsiTheme="minorEastAsia" w:eastAsiaTheme="minorEastAsia" w:cstheme="minorEastAsia"/>
        </w:rPr>
      </w:pPr>
    </w:p>
    <w:p w14:paraId="43A163A3">
      <w:pPr>
        <w:pStyle w:val="4"/>
        <w:spacing w:line="240" w:lineRule="auto"/>
        <w:jc w:val="right"/>
        <w:rPr>
          <w:rFonts w:asciiTheme="minorEastAsia" w:hAnsiTheme="minorEastAsia" w:eastAsiaTheme="minorEastAsia" w:cstheme="minorEastAsia"/>
          <w:b w:val="0"/>
          <w:sz w:val="24"/>
        </w:rPr>
      </w:pPr>
      <w:bookmarkStart w:id="15" w:name="_Toc10796"/>
      <w:bookmarkStart w:id="16" w:name="_Toc26926"/>
      <w:r>
        <w:rPr>
          <w:rFonts w:hint="eastAsia" w:asciiTheme="minorEastAsia" w:hAnsiTheme="minorEastAsia" w:eastAsiaTheme="minorEastAsia" w:cstheme="minorEastAsia"/>
          <w:b w:val="0"/>
          <w:sz w:val="24"/>
          <w:lang w:val="en-US" w:eastAsia="zh-CN"/>
        </w:rPr>
        <w:t>北京赢睿智学</w:t>
      </w:r>
      <w:r>
        <w:rPr>
          <w:rFonts w:hint="eastAsia" w:asciiTheme="minorEastAsia" w:hAnsiTheme="minorEastAsia" w:eastAsiaTheme="minorEastAsia" w:cstheme="minorEastAsia"/>
          <w:b w:val="0"/>
          <w:sz w:val="24"/>
        </w:rPr>
        <w:t>科技有限公司</w:t>
      </w:r>
      <w:bookmarkEnd w:id="15"/>
      <w:bookmarkEnd w:id="16"/>
    </w:p>
    <w:p w14:paraId="1E66D72E">
      <w:pPr>
        <w:ind w:firstLine="480" w:firstLineChars="200"/>
        <w:jc w:val="right"/>
        <w:rPr>
          <w:rFonts w:asciiTheme="minorEastAsia" w:hAnsiTheme="minorEastAsia" w:eastAsiaTheme="minorEastAsia" w:cstheme="minorEastAsia"/>
        </w:rPr>
      </w:pPr>
      <w:bookmarkStart w:id="17" w:name="_GoBack"/>
      <w:bookmarkEnd w:id="17"/>
      <w:r>
        <w:rPr>
          <w:rFonts w:hint="eastAsia" w:asciiTheme="minorEastAsia" w:hAnsiTheme="minorEastAsia" w:eastAsiaTheme="minorEastAsia" w:cstheme="minorEastAsia"/>
        </w:rPr>
        <w:t>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107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05BA2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AC0C4">
    <w:pPr>
      <w:pStyle w:val="6"/>
      <w:pBdr>
        <w:bottom w:val="single" w:color="auto" w:sz="4" w:space="1"/>
      </w:pBdr>
      <w:jc w:val="right"/>
      <w:rPr>
        <w:rFonts w:hint="default" w:eastAsia="宋体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096740"/>
    <w:multiLevelType w:val="singleLevel"/>
    <w:tmpl w:val="74096740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xMzdmNDllNzk0ZGJkOTFiOGNhNWVhYmZhZGY4ZmIifQ=="/>
  </w:docVars>
  <w:rsids>
    <w:rsidRoot w:val="2359016A"/>
    <w:rsid w:val="00001114"/>
    <w:rsid w:val="000C4BAA"/>
    <w:rsid w:val="000E353C"/>
    <w:rsid w:val="001218AE"/>
    <w:rsid w:val="00215AA4"/>
    <w:rsid w:val="002647EC"/>
    <w:rsid w:val="00461325"/>
    <w:rsid w:val="00462F37"/>
    <w:rsid w:val="006E641C"/>
    <w:rsid w:val="00822A34"/>
    <w:rsid w:val="009D7699"/>
    <w:rsid w:val="00B55B92"/>
    <w:rsid w:val="00BC4412"/>
    <w:rsid w:val="00DD00BC"/>
    <w:rsid w:val="01761E20"/>
    <w:rsid w:val="03DD3BE6"/>
    <w:rsid w:val="047B3F38"/>
    <w:rsid w:val="056703FD"/>
    <w:rsid w:val="060A6A57"/>
    <w:rsid w:val="062A31D9"/>
    <w:rsid w:val="06405ED9"/>
    <w:rsid w:val="069A3EBB"/>
    <w:rsid w:val="08885624"/>
    <w:rsid w:val="08A47272"/>
    <w:rsid w:val="08E272F3"/>
    <w:rsid w:val="09880942"/>
    <w:rsid w:val="0A9D041D"/>
    <w:rsid w:val="0AB94B2B"/>
    <w:rsid w:val="0C2A0F50"/>
    <w:rsid w:val="0DC22FD7"/>
    <w:rsid w:val="0F931DEF"/>
    <w:rsid w:val="0F9A0147"/>
    <w:rsid w:val="0FEB5787"/>
    <w:rsid w:val="100B5E29"/>
    <w:rsid w:val="11B76268"/>
    <w:rsid w:val="11C60F64"/>
    <w:rsid w:val="121F3E0E"/>
    <w:rsid w:val="122D02D9"/>
    <w:rsid w:val="124F64A1"/>
    <w:rsid w:val="136E0BA9"/>
    <w:rsid w:val="13C22CA3"/>
    <w:rsid w:val="140744D8"/>
    <w:rsid w:val="1577135B"/>
    <w:rsid w:val="16C84A74"/>
    <w:rsid w:val="1713188D"/>
    <w:rsid w:val="17F642BE"/>
    <w:rsid w:val="18CE5C46"/>
    <w:rsid w:val="192817FA"/>
    <w:rsid w:val="19BB266E"/>
    <w:rsid w:val="1A747084"/>
    <w:rsid w:val="1A964EAC"/>
    <w:rsid w:val="20CB6E6D"/>
    <w:rsid w:val="218B501C"/>
    <w:rsid w:val="21B26104"/>
    <w:rsid w:val="220A2A77"/>
    <w:rsid w:val="224202D4"/>
    <w:rsid w:val="229E54A6"/>
    <w:rsid w:val="2359016A"/>
    <w:rsid w:val="23CE7442"/>
    <w:rsid w:val="24044C11"/>
    <w:rsid w:val="24286750"/>
    <w:rsid w:val="24927F3A"/>
    <w:rsid w:val="24C10D72"/>
    <w:rsid w:val="274C6D50"/>
    <w:rsid w:val="27BC5F2F"/>
    <w:rsid w:val="2A0E237E"/>
    <w:rsid w:val="2ABE7CBA"/>
    <w:rsid w:val="2C0D4556"/>
    <w:rsid w:val="2D23435A"/>
    <w:rsid w:val="2DA336ED"/>
    <w:rsid w:val="2F0D3DF1"/>
    <w:rsid w:val="2FB417A1"/>
    <w:rsid w:val="2FD95DC5"/>
    <w:rsid w:val="306A22A0"/>
    <w:rsid w:val="315E14B2"/>
    <w:rsid w:val="32076415"/>
    <w:rsid w:val="330E1609"/>
    <w:rsid w:val="3438262C"/>
    <w:rsid w:val="363E2205"/>
    <w:rsid w:val="36F57C34"/>
    <w:rsid w:val="37D84D21"/>
    <w:rsid w:val="39011B6D"/>
    <w:rsid w:val="393152B7"/>
    <w:rsid w:val="3A795AC0"/>
    <w:rsid w:val="3A855250"/>
    <w:rsid w:val="3B331C0C"/>
    <w:rsid w:val="3CE40550"/>
    <w:rsid w:val="3D5D7415"/>
    <w:rsid w:val="3E173A67"/>
    <w:rsid w:val="3E996A7B"/>
    <w:rsid w:val="3FE22024"/>
    <w:rsid w:val="41A03D74"/>
    <w:rsid w:val="44B738AE"/>
    <w:rsid w:val="44D2669F"/>
    <w:rsid w:val="452A22D2"/>
    <w:rsid w:val="45A100BA"/>
    <w:rsid w:val="461B698B"/>
    <w:rsid w:val="47080050"/>
    <w:rsid w:val="48217291"/>
    <w:rsid w:val="4B383D7F"/>
    <w:rsid w:val="4B9F0243"/>
    <w:rsid w:val="4C760D25"/>
    <w:rsid w:val="4CF01902"/>
    <w:rsid w:val="4D25379C"/>
    <w:rsid w:val="4D40640B"/>
    <w:rsid w:val="4D474EC1"/>
    <w:rsid w:val="4D7D31BB"/>
    <w:rsid w:val="4F342D5B"/>
    <w:rsid w:val="4FD0705F"/>
    <w:rsid w:val="4FE0099B"/>
    <w:rsid w:val="50D15CF8"/>
    <w:rsid w:val="50D92DFE"/>
    <w:rsid w:val="543B63AB"/>
    <w:rsid w:val="56E46C41"/>
    <w:rsid w:val="57482A8C"/>
    <w:rsid w:val="59684D1F"/>
    <w:rsid w:val="598B1EE7"/>
    <w:rsid w:val="5D1A4582"/>
    <w:rsid w:val="5E4044BD"/>
    <w:rsid w:val="5FEC48FC"/>
    <w:rsid w:val="617526CF"/>
    <w:rsid w:val="621B70F0"/>
    <w:rsid w:val="64833CCD"/>
    <w:rsid w:val="64B67287"/>
    <w:rsid w:val="652E32C1"/>
    <w:rsid w:val="65CD2ADA"/>
    <w:rsid w:val="66EE7C69"/>
    <w:rsid w:val="67396DDC"/>
    <w:rsid w:val="6A5C61DA"/>
    <w:rsid w:val="6C026136"/>
    <w:rsid w:val="6C5F1B48"/>
    <w:rsid w:val="6CBE317C"/>
    <w:rsid w:val="6D4B2C28"/>
    <w:rsid w:val="6FD33E78"/>
    <w:rsid w:val="70333E81"/>
    <w:rsid w:val="70D07922"/>
    <w:rsid w:val="71021B9C"/>
    <w:rsid w:val="731F20BD"/>
    <w:rsid w:val="7443040B"/>
    <w:rsid w:val="746A3BEA"/>
    <w:rsid w:val="75271524"/>
    <w:rsid w:val="76740D50"/>
    <w:rsid w:val="78506595"/>
    <w:rsid w:val="7A293BFF"/>
    <w:rsid w:val="7ABF0618"/>
    <w:rsid w:val="7B0E6452"/>
    <w:rsid w:val="7CA852AF"/>
    <w:rsid w:val="7CB969EA"/>
    <w:rsid w:val="7E1E528F"/>
    <w:rsid w:val="7E7C4C45"/>
    <w:rsid w:val="7EA3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Normal (Web)"/>
    <w:basedOn w:val="1"/>
    <w:autoRedefine/>
    <w:qFormat/>
    <w:uiPriority w:val="0"/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Emphasis"/>
    <w:basedOn w:val="10"/>
    <w:qFormat/>
    <w:uiPriority w:val="0"/>
    <w:rPr>
      <w:i/>
    </w:rPr>
  </w:style>
  <w:style w:type="character" w:styleId="13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autoRedefine/>
    <w:qFormat/>
    <w:uiPriority w:val="34"/>
    <w:pPr>
      <w:spacing w:before="5"/>
      <w:ind w:left="101" w:firstLine="640"/>
    </w:pPr>
  </w:style>
  <w:style w:type="paragraph" w:customStyle="1" w:styleId="15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6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webp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2337</Words>
  <Characters>2437</Characters>
  <Lines>21</Lines>
  <Paragraphs>6</Paragraphs>
  <TotalTime>107</TotalTime>
  <ScaleCrop>false</ScaleCrop>
  <LinksUpToDate>false</LinksUpToDate>
  <CharactersWithSpaces>2514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2023-02-25T10:18:00Z</dcterms:created>
  <dc:creator>谢空心菜</dc:creator>
  <cp:lastModifiedBy>刘玉峰</cp:lastModifiedBy>
  <dcterms:modified xsi:type="dcterms:W3CDTF">2025-03-13T09:15:23Z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A1B6DC5164A74FEAB5CC92AF4EA12C9E_13</vt:lpwstr>
  </property>
  <property fmtid="{D5CDD505-2E9C-101B-9397-08002B2CF9AE}" pid="4" name="KSOTemplateDocerSaveRecord">
    <vt:lpwstr>eyJoZGlkIjoiMGY1OTRlMmJhNzgwYjhhNzcxODBmYzAyYjdmMmE1OGYiLCJ1c2VySWQiOiIzNTgyNzM4NTMifQ==</vt:lpwstr>
  </property>
</Properties>
</file>