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DE1E" w14:textId="77777777" w:rsidR="00114091" w:rsidRDefault="00114091" w:rsidP="00114091">
      <w:pPr>
        <w:spacing w:line="42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/>
          <w:sz w:val="28"/>
          <w:szCs w:val="28"/>
        </w:rPr>
        <w:t>2</w:t>
      </w:r>
    </w:p>
    <w:p w14:paraId="6169EBEE" w14:textId="77777777" w:rsidR="00114091" w:rsidRDefault="00114091" w:rsidP="00114091">
      <w:pPr>
        <w:spacing w:line="4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</w:t>
      </w:r>
      <w:r>
        <w:rPr>
          <w:rFonts w:ascii="黑体" w:eastAsia="黑体" w:hAnsi="黑体" w:hint="eastAsia"/>
          <w:sz w:val="32"/>
          <w:szCs w:val="32"/>
          <w:lang w:val="en-US"/>
        </w:rPr>
        <w:t>4</w:t>
      </w:r>
      <w:r>
        <w:rPr>
          <w:rFonts w:ascii="黑体" w:eastAsia="黑体" w:hAnsi="黑体" w:hint="eastAsia"/>
          <w:sz w:val="32"/>
          <w:szCs w:val="32"/>
        </w:rPr>
        <w:t>年度</w:t>
      </w:r>
      <w:r w:rsidRPr="009F6B8A">
        <w:rPr>
          <w:rFonts w:ascii="黑体" w:eastAsia="黑体" w:hAnsi="黑体" w:hint="eastAsia"/>
          <w:sz w:val="32"/>
          <w:szCs w:val="32"/>
        </w:rPr>
        <w:t>专利信息检索利用系列培训</w:t>
      </w:r>
      <w:r>
        <w:rPr>
          <w:rFonts w:ascii="黑体" w:eastAsia="黑体" w:hAnsi="黑体" w:hint="eastAsia"/>
          <w:sz w:val="32"/>
          <w:szCs w:val="32"/>
        </w:rPr>
        <w:t>课程</w:t>
      </w:r>
      <w:r w:rsidRPr="009F6B8A">
        <w:rPr>
          <w:rFonts w:ascii="黑体" w:eastAsia="黑体" w:hAnsi="黑体" w:hint="eastAsia"/>
          <w:sz w:val="32"/>
          <w:szCs w:val="32"/>
        </w:rPr>
        <w:t>大纲</w:t>
      </w:r>
    </w:p>
    <w:p w14:paraId="378D01CC" w14:textId="77777777" w:rsidR="00114091" w:rsidRDefault="00114091" w:rsidP="00114091">
      <w:pPr>
        <w:spacing w:line="420" w:lineRule="exact"/>
        <w:jc w:val="center"/>
        <w:rPr>
          <w:rFonts w:ascii="黑体" w:eastAsia="黑体" w:hAnsi="黑体"/>
          <w:sz w:val="32"/>
          <w:szCs w:val="32"/>
        </w:rPr>
      </w:pPr>
    </w:p>
    <w:p w14:paraId="378ABE02" w14:textId="77777777" w:rsidR="00114091" w:rsidRPr="00DE7F23" w:rsidRDefault="00114091" w:rsidP="00114091">
      <w:pPr>
        <w:spacing w:line="360" w:lineRule="auto"/>
        <w:ind w:firstLineChars="300" w:firstLine="840"/>
        <w:jc w:val="both"/>
        <w:rPr>
          <w:rFonts w:cs="方正仿宋_GBK"/>
          <w:sz w:val="24"/>
          <w:szCs w:val="24"/>
        </w:rPr>
      </w:pPr>
      <w:r w:rsidRPr="001A5BC0">
        <w:rPr>
          <w:rFonts w:ascii="Times New Roman" w:eastAsia="仿宋_GB2312" w:hint="eastAsia"/>
          <w:sz w:val="28"/>
          <w:szCs w:val="28"/>
        </w:rPr>
        <w:t>为深入贯彻中共中央、国务院印发的《知识产权强国建设纲要（</w:t>
      </w:r>
      <w:r w:rsidRPr="001A5BC0">
        <w:rPr>
          <w:rFonts w:ascii="Times New Roman" w:eastAsia="仿宋_GB2312"/>
          <w:sz w:val="28"/>
          <w:szCs w:val="28"/>
        </w:rPr>
        <w:t>2021</w:t>
      </w:r>
      <w:r w:rsidRPr="001A5BC0">
        <w:rPr>
          <w:rFonts w:ascii="Times New Roman" w:eastAsia="仿宋_GB2312"/>
          <w:sz w:val="28"/>
          <w:szCs w:val="28"/>
        </w:rPr>
        <w:t>—</w:t>
      </w:r>
      <w:r w:rsidRPr="001A5BC0">
        <w:rPr>
          <w:rFonts w:ascii="Times New Roman" w:eastAsia="仿宋_GB2312"/>
          <w:sz w:val="28"/>
          <w:szCs w:val="28"/>
        </w:rPr>
        <w:t>2035</w:t>
      </w:r>
      <w:r w:rsidRPr="001A5BC0">
        <w:rPr>
          <w:rFonts w:ascii="Times New Roman" w:eastAsia="仿宋_GB2312"/>
          <w:sz w:val="28"/>
          <w:szCs w:val="28"/>
        </w:rPr>
        <w:t>年）》和《</w:t>
      </w:r>
      <w:r w:rsidRPr="001A5BC0">
        <w:rPr>
          <w:rFonts w:ascii="Times New Roman" w:eastAsia="仿宋_GB2312"/>
          <w:sz w:val="28"/>
          <w:szCs w:val="28"/>
        </w:rPr>
        <w:t>“</w:t>
      </w:r>
      <w:r w:rsidRPr="001A5BC0">
        <w:rPr>
          <w:rFonts w:ascii="Times New Roman" w:eastAsia="仿宋_GB2312"/>
          <w:sz w:val="28"/>
          <w:szCs w:val="28"/>
        </w:rPr>
        <w:t>十四五</w:t>
      </w:r>
      <w:r w:rsidRPr="001A5BC0">
        <w:rPr>
          <w:rFonts w:ascii="Times New Roman" w:eastAsia="仿宋_GB2312"/>
          <w:sz w:val="28"/>
          <w:szCs w:val="28"/>
        </w:rPr>
        <w:t>”</w:t>
      </w:r>
      <w:r w:rsidRPr="001A5BC0">
        <w:rPr>
          <w:rFonts w:ascii="Times New Roman" w:eastAsia="仿宋_GB2312"/>
          <w:sz w:val="28"/>
          <w:szCs w:val="28"/>
        </w:rPr>
        <w:t>国家知识产权保护和运用规划》，</w:t>
      </w:r>
      <w:r w:rsidRPr="001A5BC0">
        <w:rPr>
          <w:rFonts w:ascii="Times New Roman" w:eastAsia="仿宋_GB2312" w:hint="eastAsia"/>
          <w:sz w:val="28"/>
          <w:szCs w:val="28"/>
        </w:rPr>
        <w:t>搭建深圳地区知识产权竞技与交流的平台，培养全校师生的知识产权意识，提升师生进行专利信息检索与分析的能力，为高校科技成果的创造、实施、转化，产学研深度融合发展夯实基础，进一步助力深圳市高校图书馆的知识产权信息服务建设工作，深圳大学图书馆</w:t>
      </w:r>
      <w:r>
        <w:rPr>
          <w:rFonts w:ascii="Times New Roman" w:eastAsia="仿宋_GB2312" w:hint="eastAsia"/>
          <w:sz w:val="28"/>
          <w:szCs w:val="28"/>
        </w:rPr>
        <w:t>、</w:t>
      </w:r>
      <w:r w:rsidRPr="001A5BC0">
        <w:rPr>
          <w:rFonts w:ascii="Times New Roman" w:eastAsia="仿宋_GB2312" w:hint="eastAsia"/>
          <w:sz w:val="28"/>
          <w:szCs w:val="28"/>
        </w:rPr>
        <w:t>深圳图书情报学会、</w:t>
      </w:r>
      <w:r w:rsidRPr="00522FF4">
        <w:rPr>
          <w:rFonts w:ascii="Times New Roman" w:eastAsia="仿宋_GB2312" w:hint="eastAsia"/>
          <w:sz w:val="28"/>
          <w:szCs w:val="28"/>
        </w:rPr>
        <w:t>深圳大学知识产权学院（国际知识产权学院）</w:t>
      </w:r>
      <w:r w:rsidRPr="001A5BC0">
        <w:rPr>
          <w:rFonts w:ascii="Times New Roman" w:eastAsia="仿宋_GB2312" w:hint="eastAsia"/>
          <w:sz w:val="28"/>
          <w:szCs w:val="28"/>
        </w:rPr>
        <w:t>将联合举办</w:t>
      </w:r>
      <w:r w:rsidRPr="001A5BC0">
        <w:rPr>
          <w:rFonts w:ascii="Times New Roman" w:eastAsia="仿宋_GB2312" w:hint="eastAsia"/>
          <w:sz w:val="28"/>
          <w:szCs w:val="28"/>
        </w:rPr>
        <w:t>2024</w:t>
      </w:r>
      <w:r w:rsidRPr="001A5BC0">
        <w:rPr>
          <w:rFonts w:ascii="Times New Roman" w:eastAsia="仿宋_GB2312" w:hint="eastAsia"/>
          <w:sz w:val="28"/>
          <w:szCs w:val="28"/>
        </w:rPr>
        <w:t>年度“深圳高校知识产权大数据检索知识竞赛”</w:t>
      </w:r>
      <w:r w:rsidRPr="001A5BC0">
        <w:rPr>
          <w:rFonts w:ascii="Times New Roman" w:eastAsia="仿宋_GB2312" w:hint="eastAsia"/>
          <w:sz w:val="28"/>
          <w:szCs w:val="28"/>
        </w:rPr>
        <w:t xml:space="preserve"> </w:t>
      </w:r>
      <w:r w:rsidRPr="001A5BC0">
        <w:rPr>
          <w:rFonts w:ascii="Times New Roman" w:eastAsia="仿宋_GB2312" w:hint="eastAsia"/>
          <w:sz w:val="28"/>
          <w:szCs w:val="28"/>
        </w:rPr>
        <w:t>与专利信息检索利用系列培训，系列培训课程大纲</w:t>
      </w:r>
      <w:r>
        <w:rPr>
          <w:rFonts w:ascii="Times New Roman" w:eastAsia="仿宋_GB2312" w:hint="eastAsia"/>
          <w:sz w:val="28"/>
          <w:szCs w:val="28"/>
        </w:rPr>
        <w:t>内容</w:t>
      </w:r>
      <w:r w:rsidRPr="001A5BC0">
        <w:rPr>
          <w:rFonts w:ascii="Times New Roman" w:eastAsia="仿宋_GB2312" w:hint="eastAsia"/>
          <w:sz w:val="28"/>
          <w:szCs w:val="28"/>
        </w:rPr>
        <w:t>如下：</w:t>
      </w:r>
      <w:r>
        <w:rPr>
          <w:rFonts w:ascii="微软雅黑" w:eastAsia="仿宋_GB2312" w:cs="微软雅黑"/>
          <w:sz w:val="24"/>
          <w:szCs w:val="24"/>
        </w:rPr>
        <w:tab/>
      </w:r>
    </w:p>
    <w:p w14:paraId="60A836D4" w14:textId="77777777" w:rsidR="00114091" w:rsidRDefault="00114091" w:rsidP="00114091">
      <w:pPr>
        <w:jc w:val="center"/>
        <w:rPr>
          <w:rFonts w:ascii="微软雅黑" w:eastAsia="微软雅黑" w:cs="微软雅黑"/>
          <w:b/>
          <w:bCs/>
          <w:color w:val="000000"/>
          <w:sz w:val="32"/>
          <w:szCs w:val="32"/>
        </w:rPr>
      </w:pPr>
      <w:r>
        <w:rPr>
          <w:rFonts w:ascii="微软雅黑" w:eastAsia="微软雅黑" w:cs="微软雅黑" w:hint="eastAsia"/>
          <w:b/>
          <w:bCs/>
          <w:color w:val="000000"/>
          <w:sz w:val="32"/>
          <w:szCs w:val="32"/>
        </w:rPr>
        <w:t>系列培训课程大纲</w:t>
      </w:r>
    </w:p>
    <w:tbl>
      <w:tblPr>
        <w:tblStyle w:val="a9"/>
        <w:tblW w:w="9515" w:type="dxa"/>
        <w:tblInd w:w="108" w:type="dxa"/>
        <w:tblLook w:val="04A0" w:firstRow="1" w:lastRow="0" w:firstColumn="1" w:lastColumn="0" w:noHBand="0" w:noVBand="1"/>
      </w:tblPr>
      <w:tblGrid>
        <w:gridCol w:w="2155"/>
        <w:gridCol w:w="2536"/>
        <w:gridCol w:w="4824"/>
      </w:tblGrid>
      <w:tr w:rsidR="00114091" w:rsidRPr="001A5BC0" w14:paraId="324249B5" w14:textId="77777777" w:rsidTr="002E4670">
        <w:trPr>
          <w:trHeight w:val="594"/>
        </w:trPr>
        <w:tc>
          <w:tcPr>
            <w:tcW w:w="2155" w:type="dxa"/>
            <w:shd w:val="clear" w:color="auto" w:fill="FFFFFF"/>
          </w:tcPr>
          <w:p w14:paraId="304C56A2" w14:textId="77777777" w:rsidR="00114091" w:rsidRPr="001A5BC0" w:rsidRDefault="00114091" w:rsidP="002E46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时间/地点</w:t>
            </w:r>
          </w:p>
        </w:tc>
        <w:tc>
          <w:tcPr>
            <w:tcW w:w="2536" w:type="dxa"/>
            <w:shd w:val="clear" w:color="auto" w:fill="FFFFFF"/>
            <w:vAlign w:val="center"/>
          </w:tcPr>
          <w:p w14:paraId="7BA442BD" w14:textId="77777777" w:rsidR="00114091" w:rsidRPr="001A5BC0" w:rsidRDefault="00114091" w:rsidP="002E46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主题</w:t>
            </w:r>
          </w:p>
        </w:tc>
        <w:tc>
          <w:tcPr>
            <w:tcW w:w="4824" w:type="dxa"/>
            <w:shd w:val="clear" w:color="auto" w:fill="FFFFFF"/>
            <w:vAlign w:val="center"/>
          </w:tcPr>
          <w:p w14:paraId="67A14E36" w14:textId="77777777" w:rsidR="00114091" w:rsidRPr="001A5BC0" w:rsidRDefault="00114091" w:rsidP="002E46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主题内容</w:t>
            </w:r>
          </w:p>
        </w:tc>
      </w:tr>
      <w:tr w:rsidR="00114091" w:rsidRPr="001A5BC0" w14:paraId="39368DDB" w14:textId="77777777" w:rsidTr="002E4670">
        <w:trPr>
          <w:trHeight w:val="1923"/>
        </w:trPr>
        <w:tc>
          <w:tcPr>
            <w:tcW w:w="2155" w:type="dxa"/>
            <w:vMerge w:val="restart"/>
            <w:vAlign w:val="center"/>
          </w:tcPr>
          <w:p w14:paraId="3412614C" w14:textId="77777777" w:rsidR="00114091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2024年6月13日周四下午</w:t>
            </w:r>
          </w:p>
          <w:p w14:paraId="402B7175" w14:textId="77777777" w:rsidR="00114091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DAC6EF8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深圳大学丽湖校区中央图书馆D1报告厅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14:paraId="3B29F54A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系列</w:t>
            </w:r>
            <w:proofErr w:type="gramStart"/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：知识产权基础知识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3B3DF83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（一）专业理论：专利法基础知识</w:t>
            </w:r>
          </w:p>
          <w:p w14:paraId="3692974E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1A5BC0">
              <w:rPr>
                <w:rFonts w:hint="eastAsia"/>
                <w:sz w:val="28"/>
                <w:szCs w:val="28"/>
              </w:rPr>
              <w:t xml:space="preserve"> </w:t>
            </w:r>
            <w:r w:rsidRPr="001A5BC0">
              <w:rPr>
                <w:rFonts w:hint="eastAsia"/>
                <w:color w:val="000000"/>
                <w:sz w:val="28"/>
                <w:szCs w:val="28"/>
              </w:rPr>
              <w:t>专利的基本概念、特点</w:t>
            </w:r>
          </w:p>
          <w:p w14:paraId="30C368B3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1A5BC0">
              <w:rPr>
                <w:color w:val="000000"/>
                <w:sz w:val="28"/>
                <w:szCs w:val="28"/>
              </w:rPr>
              <w:t xml:space="preserve"> 专利类型和专利三性</w:t>
            </w:r>
          </w:p>
          <w:p w14:paraId="53945AF1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1A5BC0">
              <w:rPr>
                <w:rFonts w:hint="eastAsia"/>
                <w:sz w:val="28"/>
                <w:szCs w:val="28"/>
              </w:rPr>
              <w:t xml:space="preserve"> </w:t>
            </w:r>
            <w:r w:rsidRPr="001A5BC0">
              <w:rPr>
                <w:rFonts w:hint="eastAsia"/>
                <w:color w:val="000000"/>
                <w:sz w:val="28"/>
                <w:szCs w:val="28"/>
              </w:rPr>
              <w:t>中国专利申请和审查的流程</w:t>
            </w:r>
          </w:p>
          <w:p w14:paraId="7D71A710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4.</w:t>
            </w:r>
            <w:r w:rsidRPr="001A5BC0">
              <w:rPr>
                <w:rFonts w:hint="eastAsia"/>
                <w:sz w:val="28"/>
                <w:szCs w:val="28"/>
              </w:rPr>
              <w:t xml:space="preserve"> </w:t>
            </w:r>
            <w:r w:rsidRPr="001A5BC0">
              <w:rPr>
                <w:rFonts w:hint="eastAsia"/>
                <w:color w:val="000000"/>
                <w:sz w:val="28"/>
                <w:szCs w:val="28"/>
              </w:rPr>
              <w:t>国外专利申请</w:t>
            </w:r>
          </w:p>
          <w:p w14:paraId="0C231703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5.</w:t>
            </w:r>
            <w:r w:rsidRPr="001A5BC0">
              <w:rPr>
                <w:color w:val="000000"/>
                <w:sz w:val="28"/>
                <w:szCs w:val="28"/>
              </w:rPr>
              <w:t xml:space="preserve"> 对科研工作的启示</w:t>
            </w:r>
          </w:p>
        </w:tc>
      </w:tr>
      <w:tr w:rsidR="00114091" w:rsidRPr="001A5BC0" w14:paraId="7B902C0E" w14:textId="77777777" w:rsidTr="002E4670">
        <w:trPr>
          <w:trHeight w:val="1412"/>
        </w:trPr>
        <w:tc>
          <w:tcPr>
            <w:tcW w:w="2155" w:type="dxa"/>
            <w:vMerge/>
            <w:vAlign w:val="center"/>
          </w:tcPr>
          <w:p w14:paraId="7CECD423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14:paraId="24932ACB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3CDD6CC3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（二）专业理论：专利文献基础知识</w:t>
            </w:r>
          </w:p>
          <w:p w14:paraId="15A24577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1A5BC0">
              <w:rPr>
                <w:rFonts w:hint="eastAsia"/>
                <w:sz w:val="28"/>
                <w:szCs w:val="28"/>
              </w:rPr>
              <w:t xml:space="preserve"> </w:t>
            </w:r>
            <w:r w:rsidRPr="001A5BC0">
              <w:rPr>
                <w:rFonts w:hint="eastAsia"/>
                <w:color w:val="000000"/>
                <w:sz w:val="28"/>
                <w:szCs w:val="28"/>
              </w:rPr>
              <w:t>专利文献的特点</w:t>
            </w:r>
          </w:p>
          <w:p w14:paraId="0D4FAACB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1A5BC0">
              <w:rPr>
                <w:rFonts w:hint="eastAsia"/>
                <w:sz w:val="28"/>
                <w:szCs w:val="28"/>
              </w:rPr>
              <w:t xml:space="preserve"> </w:t>
            </w:r>
            <w:r w:rsidRPr="001A5BC0">
              <w:rPr>
                <w:rFonts w:hint="eastAsia"/>
                <w:color w:val="000000"/>
                <w:sz w:val="28"/>
                <w:szCs w:val="28"/>
              </w:rPr>
              <w:t>中国专利文献编号规则</w:t>
            </w:r>
          </w:p>
          <w:p w14:paraId="4457E8F1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1A5BC0">
              <w:rPr>
                <w:color w:val="000000"/>
                <w:sz w:val="28"/>
                <w:szCs w:val="28"/>
              </w:rPr>
              <w:t xml:space="preserve"> 重要国家地区专利文献编号特点</w:t>
            </w:r>
          </w:p>
        </w:tc>
      </w:tr>
      <w:tr w:rsidR="00114091" w:rsidRPr="001A5BC0" w14:paraId="2D6A410D" w14:textId="77777777" w:rsidTr="002E4670">
        <w:trPr>
          <w:trHeight w:val="2250"/>
        </w:trPr>
        <w:tc>
          <w:tcPr>
            <w:tcW w:w="2155" w:type="dxa"/>
            <w:vMerge w:val="restart"/>
            <w:vAlign w:val="center"/>
          </w:tcPr>
          <w:p w14:paraId="64F7125D" w14:textId="77777777" w:rsidR="00114091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2024年6月19日周三下午</w:t>
            </w:r>
          </w:p>
          <w:p w14:paraId="75886E98" w14:textId="77777777" w:rsidR="00114091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E07C43E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深圳大学丽湖校区中央图书馆多功能厅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14:paraId="5B003E49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系列二：专利信息检索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基础实务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3626677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（一）专业理论：专利检索基础</w:t>
            </w:r>
          </w:p>
          <w:p w14:paraId="6101A4F1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1.专利检索目的</w:t>
            </w:r>
          </w:p>
          <w:p w14:paraId="172196DB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2.专利检索主要类型</w:t>
            </w:r>
          </w:p>
          <w:p w14:paraId="7EA51936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3.法律状态检索</w:t>
            </w:r>
          </w:p>
          <w:p w14:paraId="1EC51BAA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4.专利引文检索</w:t>
            </w:r>
          </w:p>
          <w:p w14:paraId="0AC303BB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5.同族检索</w:t>
            </w:r>
          </w:p>
          <w:p w14:paraId="7672CE88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6.专利技术信息检索</w:t>
            </w:r>
          </w:p>
        </w:tc>
      </w:tr>
      <w:tr w:rsidR="00114091" w:rsidRPr="001A5BC0" w14:paraId="1EC8250F" w14:textId="77777777" w:rsidTr="002E4670">
        <w:trPr>
          <w:trHeight w:val="1549"/>
        </w:trPr>
        <w:tc>
          <w:tcPr>
            <w:tcW w:w="2155" w:type="dxa"/>
            <w:vMerge/>
            <w:vAlign w:val="center"/>
          </w:tcPr>
          <w:p w14:paraId="604E5D1F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14:paraId="39576074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681C1516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（二）专利检索实务：专利信息工具的应用</w:t>
            </w:r>
          </w:p>
          <w:p w14:paraId="1861C9C2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1.专利信息工具的三大要素</w:t>
            </w:r>
          </w:p>
          <w:p w14:paraId="7A85C601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2.专利信息工具的功能介绍</w:t>
            </w:r>
          </w:p>
          <w:p w14:paraId="790A0CD8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3.专利信息工具应用案例分享</w:t>
            </w:r>
          </w:p>
          <w:p w14:paraId="119BBDAC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4.专利信息检索实践</w:t>
            </w:r>
          </w:p>
        </w:tc>
      </w:tr>
      <w:tr w:rsidR="00114091" w:rsidRPr="001A5BC0" w14:paraId="2A08F307" w14:textId="77777777" w:rsidTr="002E4670">
        <w:tc>
          <w:tcPr>
            <w:tcW w:w="2155" w:type="dxa"/>
            <w:vMerge w:val="restart"/>
            <w:vAlign w:val="center"/>
          </w:tcPr>
          <w:p w14:paraId="7F42856A" w14:textId="77777777" w:rsidR="00114091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2024年6月27日周四下午</w:t>
            </w:r>
          </w:p>
          <w:p w14:paraId="360532F6" w14:textId="77777777" w:rsidR="00114091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080E029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深圳大学丽湖校区中央图书馆多功能厅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14:paraId="6B2441BC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系列三：专利信息支撑科研创新</w:t>
            </w:r>
          </w:p>
          <w:p w14:paraId="68FAB604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FFFFFF"/>
            <w:vAlign w:val="center"/>
          </w:tcPr>
          <w:p w14:paraId="7525B268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（一）案例分析：嵌入科研全流程的专利信息利用</w:t>
            </w:r>
            <w:r w:rsidRPr="001A5B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23A42C2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1.掌握创新保护动态：立项前的专利信息分析</w:t>
            </w:r>
            <w:r w:rsidRPr="001A5BC0">
              <w:rPr>
                <w:color w:val="000000"/>
                <w:sz w:val="28"/>
                <w:szCs w:val="28"/>
              </w:rPr>
              <w:t xml:space="preserve"> </w:t>
            </w:r>
          </w:p>
          <w:p w14:paraId="501FD36F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2.了解创新主体：研发前期的专利信息分析</w:t>
            </w:r>
            <w:r w:rsidRPr="001A5BC0">
              <w:rPr>
                <w:color w:val="000000"/>
                <w:sz w:val="28"/>
                <w:szCs w:val="28"/>
              </w:rPr>
              <w:t xml:space="preserve"> </w:t>
            </w:r>
          </w:p>
          <w:p w14:paraId="6FFF23AF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3.关注专利挖掘与布局：研发中后期的专利信息分析</w:t>
            </w:r>
          </w:p>
        </w:tc>
      </w:tr>
      <w:tr w:rsidR="00114091" w:rsidRPr="001A5BC0" w14:paraId="4B3A1E53" w14:textId="77777777" w:rsidTr="002E4670">
        <w:tc>
          <w:tcPr>
            <w:tcW w:w="2155" w:type="dxa"/>
            <w:vMerge/>
            <w:vAlign w:val="center"/>
          </w:tcPr>
          <w:p w14:paraId="34601029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14:paraId="6458CCB5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3DB23776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（二）实务：专利分析报告撰写</w:t>
            </w:r>
            <w:r w:rsidRPr="001A5BC0">
              <w:rPr>
                <w:color w:val="000000"/>
                <w:sz w:val="28"/>
                <w:szCs w:val="28"/>
              </w:rPr>
              <w:t xml:space="preserve"> </w:t>
            </w:r>
          </w:p>
          <w:p w14:paraId="79067F6F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color w:val="000000"/>
                <w:sz w:val="28"/>
                <w:szCs w:val="28"/>
              </w:rPr>
              <w:t>1</w:t>
            </w:r>
            <w:r w:rsidRPr="001A5BC0">
              <w:rPr>
                <w:rFonts w:hint="eastAsia"/>
                <w:color w:val="000000"/>
                <w:sz w:val="28"/>
                <w:szCs w:val="28"/>
              </w:rPr>
              <w:t>.专利分析报告的意义及撰写流程</w:t>
            </w:r>
          </w:p>
          <w:p w14:paraId="0953AFCD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color w:val="000000"/>
                <w:sz w:val="28"/>
                <w:szCs w:val="28"/>
              </w:rPr>
              <w:t>2.</w:t>
            </w:r>
            <w:r w:rsidRPr="001A5BC0">
              <w:rPr>
                <w:rFonts w:hint="eastAsia"/>
                <w:color w:val="000000"/>
                <w:sz w:val="28"/>
                <w:szCs w:val="28"/>
              </w:rPr>
              <w:t>发明人专利分析报告撰写</w:t>
            </w:r>
            <w:r w:rsidRPr="001A5BC0">
              <w:rPr>
                <w:color w:val="000000"/>
                <w:sz w:val="28"/>
                <w:szCs w:val="28"/>
              </w:rPr>
              <w:t xml:space="preserve"> </w:t>
            </w:r>
          </w:p>
          <w:p w14:paraId="6A8C034B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color w:val="000000"/>
                <w:sz w:val="28"/>
                <w:szCs w:val="28"/>
              </w:rPr>
              <w:t>3.</w:t>
            </w:r>
            <w:r w:rsidRPr="001A5BC0">
              <w:rPr>
                <w:rFonts w:hint="eastAsia"/>
                <w:color w:val="000000"/>
                <w:sz w:val="28"/>
                <w:szCs w:val="28"/>
              </w:rPr>
              <w:t>组织机构专利分析报告撰写</w:t>
            </w:r>
            <w:r w:rsidRPr="001A5BC0">
              <w:rPr>
                <w:color w:val="000000"/>
                <w:sz w:val="28"/>
                <w:szCs w:val="28"/>
              </w:rPr>
              <w:t xml:space="preserve"> </w:t>
            </w:r>
          </w:p>
          <w:p w14:paraId="18673A73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color w:val="000000"/>
                <w:sz w:val="28"/>
                <w:szCs w:val="28"/>
              </w:rPr>
              <w:t>4.</w:t>
            </w:r>
            <w:r w:rsidRPr="001A5BC0">
              <w:rPr>
                <w:rFonts w:hint="eastAsia"/>
                <w:color w:val="000000"/>
                <w:sz w:val="28"/>
                <w:szCs w:val="28"/>
              </w:rPr>
              <w:t xml:space="preserve">技术领域专利分析报告撰写 </w:t>
            </w:r>
          </w:p>
        </w:tc>
      </w:tr>
      <w:tr w:rsidR="00114091" w:rsidRPr="001A5BC0" w14:paraId="660967E1" w14:textId="77777777" w:rsidTr="002E4670">
        <w:tc>
          <w:tcPr>
            <w:tcW w:w="2155" w:type="dxa"/>
            <w:vMerge w:val="restart"/>
            <w:vAlign w:val="center"/>
          </w:tcPr>
          <w:p w14:paraId="0FAA3A1C" w14:textId="77777777" w:rsidR="00114091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2024年7月3日周三下午</w:t>
            </w:r>
          </w:p>
          <w:p w14:paraId="1084037D" w14:textId="77777777" w:rsidR="00114091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386988B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深圳大学丽湖校区中央图书馆多功能厅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14:paraId="4D96E6EF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系列四：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专利信息</w:t>
            </w: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促进成果转化运用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12641E1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（一）专业理论：专利申请前评估支撑专利高质量发展</w:t>
            </w:r>
          </w:p>
          <w:p w14:paraId="23BA3386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1.政策导向</w:t>
            </w:r>
          </w:p>
          <w:p w14:paraId="39576CE7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2.专利申请前评估现状分析</w:t>
            </w:r>
          </w:p>
          <w:p w14:paraId="69F9AFDC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3.专利申请前评估工作思路</w:t>
            </w:r>
          </w:p>
          <w:p w14:paraId="2ADC71E0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4.专利申请前评估案例分析</w:t>
            </w:r>
          </w:p>
        </w:tc>
      </w:tr>
      <w:tr w:rsidR="00114091" w:rsidRPr="001A5BC0" w14:paraId="4C711716" w14:textId="77777777" w:rsidTr="002E4670">
        <w:tc>
          <w:tcPr>
            <w:tcW w:w="2155" w:type="dxa"/>
            <w:vMerge/>
          </w:tcPr>
          <w:p w14:paraId="11E303D9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14:paraId="4D175EE4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14A04079" w14:textId="77777777" w:rsidR="00114091" w:rsidRPr="001A5BC0" w:rsidRDefault="00114091" w:rsidP="002E46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b/>
                <w:bCs/>
                <w:color w:val="000000"/>
                <w:sz w:val="28"/>
                <w:szCs w:val="28"/>
              </w:rPr>
              <w:t>（二）实务：专利申请前评估分析报告撰写实务</w:t>
            </w:r>
          </w:p>
          <w:p w14:paraId="62D62E28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1.明确要检索的技术方案</w:t>
            </w:r>
          </w:p>
          <w:p w14:paraId="4DB5AA51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2.检索前准备，查找文献了解背景</w:t>
            </w:r>
          </w:p>
          <w:p w14:paraId="4D53D3F2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3.制定检索策略</w:t>
            </w:r>
          </w:p>
          <w:p w14:paraId="23F6C1AF" w14:textId="77777777" w:rsidR="00114091" w:rsidRPr="001A5BC0" w:rsidRDefault="00114091" w:rsidP="002E4670">
            <w:pPr>
              <w:rPr>
                <w:color w:val="000000"/>
                <w:sz w:val="28"/>
                <w:szCs w:val="28"/>
              </w:rPr>
            </w:pPr>
            <w:r w:rsidRPr="001A5BC0">
              <w:rPr>
                <w:rFonts w:hint="eastAsia"/>
                <w:color w:val="000000"/>
                <w:sz w:val="28"/>
                <w:szCs w:val="28"/>
              </w:rPr>
              <w:t>4.填写检索报告</w:t>
            </w:r>
          </w:p>
        </w:tc>
      </w:tr>
    </w:tbl>
    <w:p w14:paraId="298F8FE5" w14:textId="77777777" w:rsidR="00114091" w:rsidRDefault="00114091" w:rsidP="00114091">
      <w:pPr>
        <w:widowControl/>
        <w:rPr>
          <w:rFonts w:eastAsia="仿宋_GB2312"/>
        </w:rPr>
      </w:pPr>
    </w:p>
    <w:p w14:paraId="0390030F" w14:textId="77777777" w:rsidR="00114091" w:rsidRDefault="00114091" w:rsidP="00114091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</w:p>
    <w:p w14:paraId="46D21923" w14:textId="77777777" w:rsidR="00114091" w:rsidRDefault="00114091" w:rsidP="00114091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</w:p>
    <w:p w14:paraId="051B2085" w14:textId="77777777" w:rsidR="00114091" w:rsidRDefault="00114091" w:rsidP="00114091">
      <w:pPr>
        <w:spacing w:line="600" w:lineRule="exact"/>
        <w:jc w:val="right"/>
        <w:rPr>
          <w:rFonts w:ascii="黑体" w:eastAsia="黑体" w:hAnsi="黑体"/>
          <w:sz w:val="48"/>
          <w:lang w:val="en-US"/>
        </w:rPr>
      </w:pPr>
      <w:r>
        <w:rPr>
          <w:rFonts w:ascii="Times New Roman" w:hAnsi="Times New Roman" w:hint="eastAsia"/>
          <w:b/>
          <w:color w:val="333333"/>
          <w:sz w:val="32"/>
          <w:szCs w:val="32"/>
        </w:rPr>
        <w:t xml:space="preserve">                     </w:t>
      </w:r>
    </w:p>
    <w:p w14:paraId="7CBB48C2" w14:textId="77777777" w:rsidR="00114091" w:rsidRPr="009F6B8A" w:rsidRDefault="00114091" w:rsidP="00114091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</w:p>
    <w:p w14:paraId="75570716" w14:textId="77777777" w:rsidR="00B776FC" w:rsidRPr="00114091" w:rsidRDefault="00B776FC">
      <w:pPr>
        <w:rPr>
          <w:lang w:val="en-US"/>
        </w:rPr>
      </w:pPr>
    </w:p>
    <w:sectPr w:rsidR="00B776FC" w:rsidRPr="00114091">
      <w:footerReference w:type="default" r:id="rId6"/>
      <w:pgSz w:w="11910" w:h="16840"/>
      <w:pgMar w:top="1520" w:right="920" w:bottom="1380" w:left="114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2B37" w14:textId="77777777" w:rsidR="00157B3C" w:rsidRDefault="00157B3C" w:rsidP="00114091">
      <w:r>
        <w:separator/>
      </w:r>
    </w:p>
  </w:endnote>
  <w:endnote w:type="continuationSeparator" w:id="0">
    <w:p w14:paraId="3D94BE01" w14:textId="77777777" w:rsidR="00157B3C" w:rsidRDefault="00157B3C" w:rsidP="0011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1F4C" w14:textId="77777777" w:rsidR="00C50DA5" w:rsidRDefault="00157B3C">
    <w:pPr>
      <w:pStyle w:val="a7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759071" wp14:editId="2F3321CF">
              <wp:simplePos x="0" y="0"/>
              <wp:positionH relativeFrom="page">
                <wp:posOffset>6577965</wp:posOffset>
              </wp:positionH>
              <wp:positionV relativeFrom="page">
                <wp:posOffset>9790430</wp:posOffset>
              </wp:positionV>
              <wp:extent cx="1079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32E64" w14:textId="77777777" w:rsidR="00C50DA5" w:rsidRDefault="00157B3C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E7590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17.95pt;margin-top:770.9pt;width:8.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" filled="f" stroked="f">
              <v:textbox inset="0,0,0,0">
                <w:txbxContent>
                  <w:p w14:paraId="37E32E64" w14:textId="77777777" w:rsidR="00C50DA5" w:rsidRDefault="00157B3C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BAE0" w14:textId="77777777" w:rsidR="00157B3C" w:rsidRDefault="00157B3C" w:rsidP="00114091">
      <w:r>
        <w:separator/>
      </w:r>
    </w:p>
  </w:footnote>
  <w:footnote w:type="continuationSeparator" w:id="0">
    <w:p w14:paraId="0C8B3E47" w14:textId="77777777" w:rsidR="00157B3C" w:rsidRDefault="00157B3C" w:rsidP="0011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FC"/>
    <w:rsid w:val="00114091"/>
    <w:rsid w:val="00157B3C"/>
    <w:rsid w:val="00B7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CDA09-9447-49C8-9446-C542FB24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409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9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114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09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11409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14091"/>
    <w:pPr>
      <w:ind w:left="275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114091"/>
    <w:rPr>
      <w:rFonts w:ascii="宋体" w:eastAsia="宋体" w:hAnsi="宋体" w:cs="宋体"/>
      <w:kern w:val="0"/>
      <w:sz w:val="32"/>
      <w:szCs w:val="32"/>
      <w:lang w:val="zh-CN" w:bidi="zh-CN"/>
    </w:rPr>
  </w:style>
  <w:style w:type="table" w:styleId="a9">
    <w:name w:val="Table Grid"/>
    <w:basedOn w:val="a1"/>
    <w:uiPriority w:val="39"/>
    <w:qFormat/>
    <w:rsid w:val="00114091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ckb-guochen</dc:creator>
  <cp:keywords/>
  <dc:description/>
  <cp:lastModifiedBy>ckb-guochen</cp:lastModifiedBy>
  <cp:revision>2</cp:revision>
  <dcterms:created xsi:type="dcterms:W3CDTF">2024-05-31T03:28:00Z</dcterms:created>
  <dcterms:modified xsi:type="dcterms:W3CDTF">2024-05-31T03:29:00Z</dcterms:modified>
</cp:coreProperties>
</file>